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C6C" w:rsidRPr="00D22C6C" w:rsidRDefault="00D22C6C" w:rsidP="00D22C6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22C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What is the key distinguishing factor of job work under GST?</w:t>
      </w:r>
    </w:p>
    <w:p w:rsidR="00D22C6C" w:rsidRDefault="00D22C6C" w:rsidP="00D22C6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2C6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Job worker must be unregistered</w:t>
      </w:r>
      <w:r w:rsidRPr="00D22C6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The goods must be owned by the job worker</w:t>
      </w:r>
      <w:r w:rsidRPr="00D22C6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D22C6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C. Ownership of goods remains with the principal</w:t>
      </w:r>
      <w:r w:rsidRPr="00D22C6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br/>
      </w:r>
      <w:r w:rsidRPr="00D22C6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D. Job work must involve immovable property</w:t>
      </w:r>
      <w:r w:rsidRPr="00D22C6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Only capital goods are allowed for job work</w:t>
      </w:r>
    </w:p>
    <w:p w:rsidR="00D22C6C" w:rsidRDefault="00D22C6C" w:rsidP="00D22C6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Which section of the CGST Act defines Job Work?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Section 143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Section 19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C. Section 2(72)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D. Section 2(68)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Section 45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 What is the maximum time limit for return of capital goods (except moulds, dies, jigs, fixtures, and tools) sent for job work?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6 months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1 year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C. 2 years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D. 3 years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5 years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4. If inputs are not received back within the stipulated time, the transaction is treated as: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Sale of capital assets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Supply from job worker to principal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C. Supply from the principal to job worker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D. Exempt supply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Composite supply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5. Which form is used to report job work transactions under GST?</w:t>
      </w: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GSTR-3B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GSTR-9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C. GST ITC-04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D. GST REG-06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GSTR-2A</w:t>
      </w: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6</w:t>
      </w: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. Which of the following is a required data element in the QR code on e-invoices?</w:t>
      </w: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Purchase Order Number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Supplier's PAN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C. Recipient GSTIN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D. Shipping Mode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Invoice Currency</w:t>
      </w: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7. </w:t>
      </w: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What happens if an invoice eligible for IRN is issued without generating one?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No penalty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Treated as a valid invoice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C. Attracts penalty under Section 122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D. Gets automatically corrected by IRP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Taxpayer is warned only once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8. </w:t>
      </w: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Which of the following entities is </w:t>
      </w:r>
      <w:r w:rsidRPr="00A11359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GB"/>
          <w14:ligatures w14:val="none"/>
        </w:rPr>
        <w:t>exempted</w:t>
      </w: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from generating e-invoices?</w:t>
      </w: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SEZ Developers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B. Banking Companies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C. Registered B2B Traders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D. Exporters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Software service providers</w:t>
      </w: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9</w:t>
      </w: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. What is the time limit for IRN cancellation?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72 hours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7 days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C. 24 hours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D. 1 hour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No limit</w:t>
      </w: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10. </w:t>
      </w: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Which of the following is </w:t>
      </w:r>
      <w:r w:rsidRPr="00A11359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GB"/>
          <w14:ligatures w14:val="none"/>
        </w:rPr>
        <w:t>not</w:t>
      </w: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a document that requires IRN generation?</w:t>
      </w: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Tax Invoice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Credit Note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C. Debit Note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D. Delivery Challan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None of the above</w:t>
      </w: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</w:t>
      </w: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. Under which section of the CGST Act is the fundamental framework for GST refunds laid down?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Section 19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B. Section 54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C. Section 77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D. Section 115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Section 56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12. </w:t>
      </w: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Which form is used for a standard refund application under Rule 89(1)?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RFD-03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RFD-02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C. RFD-01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D. RFD-05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RFD-06</w:t>
      </w: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13</w:t>
      </w: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. Who is eligible to claim refund in the case of supplies to SEZ units or developers?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Only the SEZ recipient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Either supplier or recipient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C. Only the supplier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D. Only customs authorities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GST Council</w:t>
      </w: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14</w:t>
      </w:r>
      <w:r w:rsidRPr="00A113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. Which circular introduced the fully electronic refund process and single disbursement mechanism?</w:t>
      </w: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A. Circular 111/30/2019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B. Circular 135/05/2020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1135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C. Circular 125/44/2019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D. Circular 70/44/2018</w:t>
      </w:r>
      <w:r w:rsidRPr="00A1135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E. Circular 5/5/2017</w:t>
      </w: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A11359" w:rsidRPr="00A11359" w:rsidRDefault="00A11359" w:rsidP="00A1135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D22C6C" w:rsidRPr="00D22C6C" w:rsidRDefault="00D22C6C" w:rsidP="00D22C6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D22C6C" w:rsidRDefault="00D22C6C"/>
    <w:sectPr w:rsidR="00D22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6C"/>
    <w:rsid w:val="00115B06"/>
    <w:rsid w:val="001408BC"/>
    <w:rsid w:val="001635FC"/>
    <w:rsid w:val="001E5D2A"/>
    <w:rsid w:val="002868D0"/>
    <w:rsid w:val="0052615D"/>
    <w:rsid w:val="006E5B03"/>
    <w:rsid w:val="00A11359"/>
    <w:rsid w:val="00BA3CE5"/>
    <w:rsid w:val="00D22C6C"/>
    <w:rsid w:val="00EA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44D390"/>
  <w15:chartTrackingRefBased/>
  <w15:docId w15:val="{A854D5F0-D237-7047-B5C3-A2E1986D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C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C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C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C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22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C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C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C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C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C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C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C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C6C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22C6C"/>
    <w:rPr>
      <w:b/>
      <w:bCs/>
    </w:rPr>
  </w:style>
  <w:style w:type="character" w:styleId="Emphasis">
    <w:name w:val="Emphasis"/>
    <w:basedOn w:val="DefaultParagraphFont"/>
    <w:uiPriority w:val="20"/>
    <w:qFormat/>
    <w:rsid w:val="00A11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 B.M Gupta</dc:creator>
  <cp:keywords/>
  <dc:description/>
  <cp:lastModifiedBy>CMA B.M Gupta</cp:lastModifiedBy>
  <cp:revision>2</cp:revision>
  <dcterms:created xsi:type="dcterms:W3CDTF">2025-03-29T18:01:00Z</dcterms:created>
  <dcterms:modified xsi:type="dcterms:W3CDTF">2025-03-29T18:01:00Z</dcterms:modified>
</cp:coreProperties>
</file>