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F5287" w14:textId="77777777" w:rsidR="00407D3B" w:rsidRPr="00407D3B" w:rsidRDefault="00407D3B" w:rsidP="00407D3B">
      <w:pPr>
        <w:rPr>
          <w:b/>
          <w:bCs/>
        </w:rPr>
      </w:pPr>
      <w:r w:rsidRPr="00407D3B">
        <w:rPr>
          <w:b/>
          <w:bCs/>
        </w:rPr>
        <w:t>Scope and Applicability</w:t>
      </w:r>
    </w:p>
    <w:p w14:paraId="52ADDDE8" w14:textId="77777777" w:rsidR="00407D3B" w:rsidRPr="00407D3B" w:rsidRDefault="00407D3B" w:rsidP="00407D3B">
      <w:r w:rsidRPr="00407D3B">
        <w:t xml:space="preserve">Section 194C of the Income-tax Act, 1961, deals with the deduction of tax at source (TDS) on payments to contractors and sub-contractors for carrying out any work, including the supply of </w:t>
      </w:r>
      <w:proofErr w:type="spellStart"/>
      <w:r w:rsidRPr="00407D3B">
        <w:t>labor</w:t>
      </w:r>
      <w:proofErr w:type="spellEnd"/>
      <w:r w:rsidRPr="00407D3B">
        <w:t xml:space="preserve"> for carrying out any work. The key points of this section are as follows:</w:t>
      </w:r>
    </w:p>
    <w:p w14:paraId="7326F774" w14:textId="77777777" w:rsidR="00407D3B" w:rsidRPr="00407D3B" w:rsidRDefault="00407D3B" w:rsidP="00407D3B">
      <w:pPr>
        <w:numPr>
          <w:ilvl w:val="0"/>
          <w:numId w:val="2"/>
        </w:numPr>
      </w:pPr>
      <w:proofErr w:type="spellStart"/>
      <w:r w:rsidRPr="00407D3B">
        <w:rPr>
          <w:b/>
          <w:bCs/>
        </w:rPr>
        <w:t>Deductor</w:t>
      </w:r>
      <w:proofErr w:type="spellEnd"/>
      <w:r w:rsidRPr="00407D3B">
        <w:t>: Any person, including individuals and HUFs who are required to get their accounts audited under section 44AB in the preceding financial year, is liable to deduct TDS under this section.</w:t>
      </w:r>
    </w:p>
    <w:p w14:paraId="38F005BE" w14:textId="77777777" w:rsidR="00407D3B" w:rsidRPr="00407D3B" w:rsidRDefault="00407D3B" w:rsidP="00407D3B">
      <w:pPr>
        <w:numPr>
          <w:ilvl w:val="0"/>
          <w:numId w:val="2"/>
        </w:numPr>
      </w:pPr>
      <w:proofErr w:type="spellStart"/>
      <w:r w:rsidRPr="00407D3B">
        <w:rPr>
          <w:b/>
          <w:bCs/>
        </w:rPr>
        <w:t>Deductee</w:t>
      </w:r>
      <w:proofErr w:type="spellEnd"/>
      <w:r w:rsidRPr="00407D3B">
        <w:t>: Any resident contractor or sub-contractor is covered under this section. It includes payments to transport contractors for hiring or renting of goods carriages.</w:t>
      </w:r>
    </w:p>
    <w:p w14:paraId="6B191360" w14:textId="77777777" w:rsidR="00407D3B" w:rsidRPr="00407D3B" w:rsidRDefault="00407D3B" w:rsidP="00407D3B">
      <w:pPr>
        <w:rPr>
          <w:b/>
          <w:bCs/>
        </w:rPr>
      </w:pPr>
      <w:r w:rsidRPr="00407D3B">
        <w:rPr>
          <w:b/>
          <w:bCs/>
        </w:rPr>
        <w:t>Rate of TDS</w:t>
      </w:r>
    </w:p>
    <w:p w14:paraId="3C094369" w14:textId="77777777" w:rsidR="00407D3B" w:rsidRPr="00407D3B" w:rsidRDefault="00407D3B" w:rsidP="00407D3B">
      <w:pPr>
        <w:numPr>
          <w:ilvl w:val="0"/>
          <w:numId w:val="3"/>
        </w:numPr>
      </w:pPr>
      <w:r w:rsidRPr="00407D3B">
        <w:rPr>
          <w:b/>
          <w:bCs/>
        </w:rPr>
        <w:t>1%</w:t>
      </w:r>
      <w:r w:rsidRPr="00407D3B">
        <w:t xml:space="preserve"> on payments made to individual or HUF contractors.</w:t>
      </w:r>
    </w:p>
    <w:p w14:paraId="4A6BDE99" w14:textId="77777777" w:rsidR="00407D3B" w:rsidRPr="00407D3B" w:rsidRDefault="00407D3B" w:rsidP="00407D3B">
      <w:pPr>
        <w:numPr>
          <w:ilvl w:val="0"/>
          <w:numId w:val="3"/>
        </w:numPr>
      </w:pPr>
      <w:r w:rsidRPr="00407D3B">
        <w:rPr>
          <w:b/>
          <w:bCs/>
        </w:rPr>
        <w:t>2%</w:t>
      </w:r>
      <w:r w:rsidRPr="00407D3B">
        <w:t xml:space="preserve"> on payments made to other contractors (other than individuals and HUFs).</w:t>
      </w:r>
    </w:p>
    <w:p w14:paraId="27476A0D" w14:textId="77777777" w:rsidR="00407D3B" w:rsidRPr="00407D3B" w:rsidRDefault="00407D3B" w:rsidP="00407D3B">
      <w:pPr>
        <w:rPr>
          <w:b/>
          <w:bCs/>
        </w:rPr>
      </w:pPr>
      <w:r w:rsidRPr="00407D3B">
        <w:rPr>
          <w:b/>
          <w:bCs/>
        </w:rPr>
        <w:t>Threshold Limit</w:t>
      </w:r>
    </w:p>
    <w:p w14:paraId="79BC3FB9" w14:textId="77777777" w:rsidR="00407D3B" w:rsidRPr="00407D3B" w:rsidRDefault="00407D3B" w:rsidP="00407D3B">
      <w:pPr>
        <w:numPr>
          <w:ilvl w:val="0"/>
          <w:numId w:val="4"/>
        </w:numPr>
      </w:pPr>
      <w:r w:rsidRPr="00407D3B">
        <w:t>TDS under Section 194C is required to be deducted if the amount paid or credited to a contractor in a single payment exceeds ₹30,000.</w:t>
      </w:r>
    </w:p>
    <w:p w14:paraId="45E59597" w14:textId="77777777" w:rsidR="00407D3B" w:rsidRPr="00407D3B" w:rsidRDefault="00407D3B" w:rsidP="00407D3B">
      <w:pPr>
        <w:numPr>
          <w:ilvl w:val="0"/>
          <w:numId w:val="4"/>
        </w:numPr>
      </w:pPr>
      <w:r w:rsidRPr="00407D3B">
        <w:t>If the aggregate of amounts paid or credited during the financial year exceeds ₹1,00,000, TDS must be deducted.</w:t>
      </w:r>
    </w:p>
    <w:p w14:paraId="13A8A597" w14:textId="77777777" w:rsidR="00407D3B" w:rsidRPr="00407D3B" w:rsidRDefault="00407D3B" w:rsidP="00407D3B">
      <w:pPr>
        <w:rPr>
          <w:b/>
          <w:bCs/>
        </w:rPr>
      </w:pPr>
      <w:r w:rsidRPr="00407D3B">
        <w:rPr>
          <w:b/>
          <w:bCs/>
        </w:rPr>
        <w:t>Time of Deduction</w:t>
      </w:r>
    </w:p>
    <w:p w14:paraId="47E53C44" w14:textId="77777777" w:rsidR="00407D3B" w:rsidRPr="00407D3B" w:rsidRDefault="00407D3B" w:rsidP="00407D3B">
      <w:pPr>
        <w:numPr>
          <w:ilvl w:val="0"/>
          <w:numId w:val="5"/>
        </w:numPr>
      </w:pPr>
      <w:r w:rsidRPr="00407D3B">
        <w:t>TDS must be deducted at the time of credit of such sum to the account of the contractor or at the time of payment, whichever is earlier.</w:t>
      </w:r>
    </w:p>
    <w:p w14:paraId="4045CF33" w14:textId="77777777" w:rsidR="00407D3B" w:rsidRPr="00407D3B" w:rsidRDefault="00407D3B" w:rsidP="00407D3B">
      <w:pPr>
        <w:rPr>
          <w:b/>
          <w:bCs/>
        </w:rPr>
      </w:pPr>
      <w:r w:rsidRPr="00407D3B">
        <w:rPr>
          <w:b/>
          <w:bCs/>
        </w:rPr>
        <w:t>Exemptions</w:t>
      </w:r>
    </w:p>
    <w:p w14:paraId="512AB0D7" w14:textId="77777777" w:rsidR="00407D3B" w:rsidRPr="00407D3B" w:rsidRDefault="00407D3B" w:rsidP="00407D3B">
      <w:pPr>
        <w:numPr>
          <w:ilvl w:val="0"/>
          <w:numId w:val="6"/>
        </w:numPr>
      </w:pPr>
      <w:r w:rsidRPr="00407D3B">
        <w:t>Payments made to a contractor by an individual or HUF for personal purposes are not liable to TDS.</w:t>
      </w:r>
    </w:p>
    <w:p w14:paraId="6DCF15B9" w14:textId="77777777" w:rsidR="00407D3B" w:rsidRPr="00407D3B" w:rsidRDefault="00407D3B" w:rsidP="00407D3B">
      <w:pPr>
        <w:numPr>
          <w:ilvl w:val="0"/>
          <w:numId w:val="6"/>
        </w:numPr>
      </w:pPr>
      <w:r w:rsidRPr="00407D3B">
        <w:t>Payments made to transport contractors who own ten or fewer goods carriages at any time during the previous year and who furnish a declaration with their PAN.</w:t>
      </w:r>
    </w:p>
    <w:p w14:paraId="3C815072" w14:textId="77777777" w:rsidR="00407D3B" w:rsidRPr="00407D3B" w:rsidRDefault="00407D3B" w:rsidP="00407D3B">
      <w:pPr>
        <w:rPr>
          <w:b/>
          <w:bCs/>
        </w:rPr>
      </w:pPr>
      <w:r w:rsidRPr="00407D3B">
        <w:rPr>
          <w:b/>
          <w:bCs/>
        </w:rPr>
        <w:t>Practical Examples</w:t>
      </w:r>
    </w:p>
    <w:p w14:paraId="47F7F12B" w14:textId="77777777" w:rsidR="00407D3B" w:rsidRPr="00407D3B" w:rsidRDefault="00407D3B" w:rsidP="00407D3B">
      <w:pPr>
        <w:numPr>
          <w:ilvl w:val="0"/>
          <w:numId w:val="7"/>
        </w:numPr>
      </w:pPr>
      <w:r w:rsidRPr="00407D3B">
        <w:rPr>
          <w:b/>
          <w:bCs/>
        </w:rPr>
        <w:t>Payment to a Contractor</w:t>
      </w:r>
    </w:p>
    <w:p w14:paraId="0DEBCA9A" w14:textId="77777777" w:rsidR="00407D3B" w:rsidRPr="00407D3B" w:rsidRDefault="00407D3B" w:rsidP="00407D3B">
      <w:pPr>
        <w:numPr>
          <w:ilvl w:val="1"/>
          <w:numId w:val="7"/>
        </w:numPr>
      </w:pPr>
      <w:r w:rsidRPr="00407D3B">
        <w:t>Suppose a company makes a payment of ₹50,000 to a contractor for construction work. Since the payment exceeds ₹30,000, TDS @ 2% (as the contractor is not an individual or HUF) amounting to ₹1,000 should be deducted.</w:t>
      </w:r>
    </w:p>
    <w:p w14:paraId="29C83077" w14:textId="77777777" w:rsidR="00407D3B" w:rsidRPr="00407D3B" w:rsidRDefault="00407D3B" w:rsidP="00407D3B">
      <w:pPr>
        <w:numPr>
          <w:ilvl w:val="0"/>
          <w:numId w:val="7"/>
        </w:numPr>
      </w:pPr>
      <w:r w:rsidRPr="00407D3B">
        <w:rPr>
          <w:b/>
          <w:bCs/>
        </w:rPr>
        <w:t>Multiple Payments</w:t>
      </w:r>
    </w:p>
    <w:p w14:paraId="7FF819BF" w14:textId="77777777" w:rsidR="00407D3B" w:rsidRPr="00407D3B" w:rsidRDefault="00407D3B" w:rsidP="00407D3B">
      <w:pPr>
        <w:numPr>
          <w:ilvl w:val="1"/>
          <w:numId w:val="7"/>
        </w:numPr>
      </w:pPr>
      <w:r w:rsidRPr="00407D3B">
        <w:t>If a company makes three payments of ₹40,000, ₹35,000, and ₹30,000 to a contractor during a financial year, the total payments amount to ₹1,05,000. Since the aggregate amount exceeds ₹1,00,000, TDS @ 2% on ₹1,05,000 amounting to ₹2,100 should be deducted.</w:t>
      </w:r>
    </w:p>
    <w:p w14:paraId="6C00B064" w14:textId="77777777" w:rsidR="00407D3B" w:rsidRPr="00407D3B" w:rsidRDefault="00407D3B" w:rsidP="00407D3B">
      <w:pPr>
        <w:numPr>
          <w:ilvl w:val="0"/>
          <w:numId w:val="7"/>
        </w:numPr>
      </w:pPr>
      <w:r w:rsidRPr="00407D3B">
        <w:rPr>
          <w:b/>
          <w:bCs/>
        </w:rPr>
        <w:t>Payment to a Transport Contractor</w:t>
      </w:r>
    </w:p>
    <w:p w14:paraId="717BDDD8" w14:textId="77777777" w:rsidR="00407D3B" w:rsidRPr="00407D3B" w:rsidRDefault="00407D3B" w:rsidP="00407D3B">
      <w:pPr>
        <w:numPr>
          <w:ilvl w:val="1"/>
          <w:numId w:val="7"/>
        </w:numPr>
      </w:pPr>
      <w:r w:rsidRPr="00407D3B">
        <w:lastRenderedPageBreak/>
        <w:t>If a company hires a transport contractor who owns ten or fewer goods carriages and the contractor provides a PAN along with a declaration, no TDS is required to be deducted irrespective of the amount paid.</w:t>
      </w:r>
    </w:p>
    <w:p w14:paraId="37FA8880" w14:textId="77777777" w:rsidR="00407D3B" w:rsidRPr="00407D3B" w:rsidRDefault="00407D3B" w:rsidP="00407D3B">
      <w:pPr>
        <w:rPr>
          <w:b/>
          <w:bCs/>
        </w:rPr>
      </w:pPr>
      <w:r w:rsidRPr="00407D3B">
        <w:rPr>
          <w:b/>
          <w:bCs/>
        </w:rPr>
        <w:t>Compliance and Reporting</w:t>
      </w:r>
    </w:p>
    <w:p w14:paraId="21537908" w14:textId="77777777" w:rsidR="00407D3B" w:rsidRPr="00407D3B" w:rsidRDefault="00407D3B" w:rsidP="00407D3B">
      <w:pPr>
        <w:numPr>
          <w:ilvl w:val="0"/>
          <w:numId w:val="8"/>
        </w:numPr>
      </w:pPr>
      <w:r w:rsidRPr="00407D3B">
        <w:t>The deducted TDS must be deposited with the government within the due dates specified.</w:t>
      </w:r>
    </w:p>
    <w:p w14:paraId="1A56FC47" w14:textId="77777777" w:rsidR="00407D3B" w:rsidRPr="00407D3B" w:rsidRDefault="00407D3B" w:rsidP="00407D3B">
      <w:pPr>
        <w:numPr>
          <w:ilvl w:val="0"/>
          <w:numId w:val="8"/>
        </w:numPr>
      </w:pPr>
      <w:r w:rsidRPr="00407D3B">
        <w:t xml:space="preserve">The </w:t>
      </w:r>
      <w:proofErr w:type="spellStart"/>
      <w:r w:rsidRPr="00407D3B">
        <w:t>deductor</w:t>
      </w:r>
      <w:proofErr w:type="spellEnd"/>
      <w:r w:rsidRPr="00407D3B">
        <w:t xml:space="preserve"> must file TDS returns (Form 26Q) quarterly.</w:t>
      </w:r>
    </w:p>
    <w:p w14:paraId="1618F781" w14:textId="77777777" w:rsidR="00407D3B" w:rsidRPr="00407D3B" w:rsidRDefault="00407D3B" w:rsidP="00407D3B">
      <w:pPr>
        <w:numPr>
          <w:ilvl w:val="0"/>
          <w:numId w:val="8"/>
        </w:numPr>
      </w:pPr>
      <w:r w:rsidRPr="00407D3B">
        <w:t xml:space="preserve">The </w:t>
      </w:r>
      <w:proofErr w:type="spellStart"/>
      <w:r w:rsidRPr="00407D3B">
        <w:t>deductor</w:t>
      </w:r>
      <w:proofErr w:type="spellEnd"/>
      <w:r w:rsidRPr="00407D3B">
        <w:t xml:space="preserve"> must issue a TDS certificate (Form 16A) to the </w:t>
      </w:r>
      <w:proofErr w:type="spellStart"/>
      <w:r w:rsidRPr="00407D3B">
        <w:t>deductee</w:t>
      </w:r>
      <w:proofErr w:type="spellEnd"/>
      <w:r w:rsidRPr="00407D3B">
        <w:t xml:space="preserve"> within the specified time.</w:t>
      </w:r>
    </w:p>
    <w:p w14:paraId="56DBBCD2" w14:textId="77777777" w:rsidR="00407D3B" w:rsidRPr="00407D3B" w:rsidRDefault="00407D3B" w:rsidP="00407D3B">
      <w:pPr>
        <w:rPr>
          <w:b/>
          <w:bCs/>
        </w:rPr>
      </w:pPr>
      <w:r w:rsidRPr="00407D3B">
        <w:rPr>
          <w:b/>
          <w:bCs/>
        </w:rPr>
        <w:t>Consequences of Non-Compliance</w:t>
      </w:r>
    </w:p>
    <w:p w14:paraId="46E79D87" w14:textId="77777777" w:rsidR="00407D3B" w:rsidRPr="00407D3B" w:rsidRDefault="00407D3B" w:rsidP="00407D3B">
      <w:pPr>
        <w:numPr>
          <w:ilvl w:val="0"/>
          <w:numId w:val="9"/>
        </w:numPr>
      </w:pPr>
      <w:r w:rsidRPr="00407D3B">
        <w:t>Failure to deduct TDS or deposit the same with the government attracts interest and penalties under Sections 201 and 271C.</w:t>
      </w:r>
    </w:p>
    <w:p w14:paraId="3E932AB2" w14:textId="77777777" w:rsidR="00407D3B" w:rsidRPr="00407D3B" w:rsidRDefault="00407D3B" w:rsidP="00407D3B">
      <w:pPr>
        <w:numPr>
          <w:ilvl w:val="0"/>
          <w:numId w:val="9"/>
        </w:numPr>
      </w:pPr>
      <w:r w:rsidRPr="00407D3B">
        <w:t>The expenditure on which TDS was required to be deducted but not deducted or deposited is disallowed under Section 40(a)(</w:t>
      </w:r>
      <w:proofErr w:type="spellStart"/>
      <w:r w:rsidRPr="00407D3B">
        <w:t>ia</w:t>
      </w:r>
      <w:proofErr w:type="spellEnd"/>
      <w:r w:rsidRPr="00407D3B">
        <w:t>) while computing the income under the head “Profits and gains of business or profession”.</w:t>
      </w:r>
    </w:p>
    <w:p w14:paraId="50A98DCC" w14:textId="77777777" w:rsidR="00407D3B" w:rsidRDefault="00407D3B" w:rsidP="00407D3B"/>
    <w:p w14:paraId="12D75D62" w14:textId="63B92411" w:rsidR="00407D3B" w:rsidRPr="00407D3B" w:rsidRDefault="00407D3B" w:rsidP="00407D3B">
      <w:r w:rsidRPr="00407D3B">
        <w:t>Here are some important case laws related to Section 194C of the Income-tax Act, 1961:</w:t>
      </w:r>
    </w:p>
    <w:p w14:paraId="6B2634B1" w14:textId="77777777" w:rsidR="00407D3B" w:rsidRPr="00407D3B" w:rsidRDefault="00407D3B" w:rsidP="00407D3B">
      <w:pPr>
        <w:numPr>
          <w:ilvl w:val="0"/>
          <w:numId w:val="1"/>
        </w:numPr>
      </w:pPr>
      <w:r w:rsidRPr="00407D3B">
        <w:rPr>
          <w:b/>
          <w:bCs/>
        </w:rPr>
        <w:t>Associated Cement Co. Ltd. v. CIT (1993) 201 ITR 435 (SC)</w:t>
      </w:r>
    </w:p>
    <w:p w14:paraId="33C05E11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Facts</w:t>
      </w:r>
      <w:r w:rsidRPr="00407D3B">
        <w:t>: The company had made payments to various transport contractors for transporting goods.</w:t>
      </w:r>
    </w:p>
    <w:p w14:paraId="75E57E13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Issue</w:t>
      </w:r>
      <w:r w:rsidRPr="00407D3B">
        <w:t>: Whether the payments made for transportation contracts were subject to TDS under Section 194C.</w:t>
      </w:r>
    </w:p>
    <w:p w14:paraId="00229F2F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Decision</w:t>
      </w:r>
      <w:r w:rsidRPr="00407D3B">
        <w:t>: The Supreme Court held that TDS is applicable on payments made to transport contractors for transportation contracts under Section 194C.</w:t>
      </w:r>
    </w:p>
    <w:p w14:paraId="4B41805A" w14:textId="77777777" w:rsidR="00407D3B" w:rsidRPr="00407D3B" w:rsidRDefault="00407D3B" w:rsidP="00407D3B">
      <w:pPr>
        <w:numPr>
          <w:ilvl w:val="0"/>
          <w:numId w:val="1"/>
        </w:numPr>
      </w:pPr>
      <w:r w:rsidRPr="00407D3B">
        <w:rPr>
          <w:b/>
          <w:bCs/>
        </w:rPr>
        <w:t>Birla Cement Works v. CBDT (2001) 248 ITR 216 (SC)</w:t>
      </w:r>
    </w:p>
    <w:p w14:paraId="2AE5D1F7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Facts</w:t>
      </w:r>
      <w:r w:rsidRPr="00407D3B">
        <w:t>: Payments were made to contractors for loading and unloading services.</w:t>
      </w:r>
    </w:p>
    <w:p w14:paraId="4DB4CDB7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Issue</w:t>
      </w:r>
      <w:r w:rsidRPr="00407D3B">
        <w:t>: Whether the payments made for loading and unloading services were subject to TDS under Section 194C.</w:t>
      </w:r>
    </w:p>
    <w:p w14:paraId="2C44CF48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Decision</w:t>
      </w:r>
      <w:r w:rsidRPr="00407D3B">
        <w:t>: The Supreme Court held that TDS is applicable on payments made for loading and unloading services under Section 194C.</w:t>
      </w:r>
    </w:p>
    <w:p w14:paraId="66D0C2EA" w14:textId="77777777" w:rsidR="00407D3B" w:rsidRPr="00407D3B" w:rsidRDefault="00407D3B" w:rsidP="00407D3B">
      <w:pPr>
        <w:numPr>
          <w:ilvl w:val="0"/>
          <w:numId w:val="1"/>
        </w:numPr>
      </w:pPr>
      <w:r w:rsidRPr="00407D3B">
        <w:rPr>
          <w:b/>
          <w:bCs/>
        </w:rPr>
        <w:t xml:space="preserve">CIT v. </w:t>
      </w:r>
      <w:proofErr w:type="spellStart"/>
      <w:r w:rsidRPr="00407D3B">
        <w:rPr>
          <w:b/>
          <w:bCs/>
        </w:rPr>
        <w:t>Poompuhar</w:t>
      </w:r>
      <w:proofErr w:type="spellEnd"/>
      <w:r w:rsidRPr="00407D3B">
        <w:rPr>
          <w:b/>
          <w:bCs/>
        </w:rPr>
        <w:t xml:space="preserve"> Shipping Corporation Ltd. (2006) 282 ITR 3 (Mad)</w:t>
      </w:r>
    </w:p>
    <w:p w14:paraId="71D268F7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Facts</w:t>
      </w:r>
      <w:r w:rsidRPr="00407D3B">
        <w:t xml:space="preserve">: The </w:t>
      </w:r>
      <w:proofErr w:type="spellStart"/>
      <w:r w:rsidRPr="00407D3B">
        <w:t>assessee</w:t>
      </w:r>
      <w:proofErr w:type="spellEnd"/>
      <w:r w:rsidRPr="00407D3B">
        <w:t xml:space="preserve"> made payments to shipping agents for transporting goods.</w:t>
      </w:r>
    </w:p>
    <w:p w14:paraId="3011C364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Issue</w:t>
      </w:r>
      <w:r w:rsidRPr="00407D3B">
        <w:t>: Whether payments made to shipping agents for transport of goods attract TDS under Section 194C.</w:t>
      </w:r>
    </w:p>
    <w:p w14:paraId="3481B051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Decision</w:t>
      </w:r>
      <w:r w:rsidRPr="00407D3B">
        <w:t>: The Madras High Court held that payments made to shipping agents for transportation of goods are subject to TDS under Section 194C.</w:t>
      </w:r>
    </w:p>
    <w:p w14:paraId="6E55D6DC" w14:textId="77777777" w:rsidR="00407D3B" w:rsidRPr="00407D3B" w:rsidRDefault="00407D3B" w:rsidP="00407D3B">
      <w:pPr>
        <w:numPr>
          <w:ilvl w:val="0"/>
          <w:numId w:val="1"/>
        </w:numPr>
      </w:pPr>
      <w:r w:rsidRPr="00407D3B">
        <w:rPr>
          <w:b/>
          <w:bCs/>
        </w:rPr>
        <w:t>Glenmark Pharmaceuticals Ltd. v. ITO (2008) 119 ITD 339 (Mum)</w:t>
      </w:r>
    </w:p>
    <w:p w14:paraId="6E20A20A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lastRenderedPageBreak/>
        <w:t>Facts</w:t>
      </w:r>
      <w:r w:rsidRPr="00407D3B">
        <w:t>: The company made payments to courier agencies for delivery services.</w:t>
      </w:r>
    </w:p>
    <w:p w14:paraId="74F55E07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Issue</w:t>
      </w:r>
      <w:r w:rsidRPr="00407D3B">
        <w:t>: Whether payments made to courier agencies are liable for TDS under Section 194C.</w:t>
      </w:r>
    </w:p>
    <w:p w14:paraId="04253140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Decision</w:t>
      </w:r>
      <w:r w:rsidRPr="00407D3B">
        <w:t>: The ITAT Mumbai held that payments made to courier agencies for delivery services are subject to TDS under Section 194C.</w:t>
      </w:r>
    </w:p>
    <w:p w14:paraId="21DF1DB9" w14:textId="77777777" w:rsidR="00407D3B" w:rsidRPr="00407D3B" w:rsidRDefault="00407D3B" w:rsidP="00407D3B">
      <w:pPr>
        <w:numPr>
          <w:ilvl w:val="0"/>
          <w:numId w:val="1"/>
        </w:numPr>
      </w:pPr>
      <w:r w:rsidRPr="00407D3B">
        <w:rPr>
          <w:b/>
          <w:bCs/>
        </w:rPr>
        <w:t>ITO v. Rama Nand &amp; Co. (2004) 141 Taxman 64 (Asr. Trib.)</w:t>
      </w:r>
    </w:p>
    <w:p w14:paraId="078401E6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Facts</w:t>
      </w:r>
      <w:r w:rsidRPr="00407D3B">
        <w:t xml:space="preserve">: The </w:t>
      </w:r>
      <w:proofErr w:type="spellStart"/>
      <w:r w:rsidRPr="00407D3B">
        <w:t>assessee</w:t>
      </w:r>
      <w:proofErr w:type="spellEnd"/>
      <w:r w:rsidRPr="00407D3B">
        <w:t xml:space="preserve"> made payments for printing materials.</w:t>
      </w:r>
    </w:p>
    <w:p w14:paraId="6E49972A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Issue</w:t>
      </w:r>
      <w:r w:rsidRPr="00407D3B">
        <w:t>: Whether payments made for printing materials were subject to TDS under Section 194C.</w:t>
      </w:r>
    </w:p>
    <w:p w14:paraId="18391275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Decision</w:t>
      </w:r>
      <w:r w:rsidRPr="00407D3B">
        <w:t>: The ITAT Amritsar held that payments for printing materials are subject to TDS under Section 194C, considering it as a contract for work.</w:t>
      </w:r>
    </w:p>
    <w:p w14:paraId="6085D111" w14:textId="77777777" w:rsidR="00407D3B" w:rsidRPr="00407D3B" w:rsidRDefault="00407D3B" w:rsidP="00407D3B">
      <w:pPr>
        <w:numPr>
          <w:ilvl w:val="0"/>
          <w:numId w:val="1"/>
        </w:numPr>
      </w:pPr>
      <w:r w:rsidRPr="00407D3B">
        <w:rPr>
          <w:b/>
          <w:bCs/>
        </w:rPr>
        <w:t>CIT v. Dabur India Ltd. (2005) 283 ITR 197 (Delhi)</w:t>
      </w:r>
    </w:p>
    <w:p w14:paraId="08B26CB8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Facts</w:t>
      </w:r>
      <w:r w:rsidRPr="00407D3B">
        <w:t>: The company made payments to advertising agencies.</w:t>
      </w:r>
    </w:p>
    <w:p w14:paraId="400185C4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Issue</w:t>
      </w:r>
      <w:r w:rsidRPr="00407D3B">
        <w:t>: Whether payments made to advertising agencies attract TDS under Section 194C.</w:t>
      </w:r>
    </w:p>
    <w:p w14:paraId="15758F84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Decision</w:t>
      </w:r>
      <w:r w:rsidRPr="00407D3B">
        <w:t>: The Delhi High Court held that payments made to advertising agencies are subject to TDS under Section 194C.</w:t>
      </w:r>
    </w:p>
    <w:p w14:paraId="5A0F703A" w14:textId="77777777" w:rsidR="00407D3B" w:rsidRPr="00407D3B" w:rsidRDefault="00407D3B" w:rsidP="00407D3B">
      <w:pPr>
        <w:numPr>
          <w:ilvl w:val="0"/>
          <w:numId w:val="1"/>
        </w:numPr>
      </w:pPr>
      <w:r w:rsidRPr="00407D3B">
        <w:rPr>
          <w:b/>
          <w:bCs/>
        </w:rPr>
        <w:t>CIT v. United Rice Land Ltd. (2008) 174 Taxman 286 (P&amp;H)</w:t>
      </w:r>
    </w:p>
    <w:p w14:paraId="1D514088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Facts</w:t>
      </w:r>
      <w:r w:rsidRPr="00407D3B">
        <w:t xml:space="preserve">: The </w:t>
      </w:r>
      <w:proofErr w:type="spellStart"/>
      <w:r w:rsidRPr="00407D3B">
        <w:t>assessee</w:t>
      </w:r>
      <w:proofErr w:type="spellEnd"/>
      <w:r w:rsidRPr="00407D3B">
        <w:t xml:space="preserve"> made payments to truck operators for transportation of rice.</w:t>
      </w:r>
    </w:p>
    <w:p w14:paraId="5125649E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Issue</w:t>
      </w:r>
      <w:r w:rsidRPr="00407D3B">
        <w:t>: Whether TDS under Section 194C is applicable to payments made to truck operators.</w:t>
      </w:r>
    </w:p>
    <w:p w14:paraId="2291D89E" w14:textId="77777777" w:rsidR="00407D3B" w:rsidRPr="00407D3B" w:rsidRDefault="00407D3B" w:rsidP="00407D3B">
      <w:pPr>
        <w:numPr>
          <w:ilvl w:val="1"/>
          <w:numId w:val="1"/>
        </w:numPr>
      </w:pPr>
      <w:r w:rsidRPr="00407D3B">
        <w:rPr>
          <w:b/>
          <w:bCs/>
        </w:rPr>
        <w:t>Decision</w:t>
      </w:r>
      <w:r w:rsidRPr="00407D3B">
        <w:t>: The Punjab and Haryana High Court held that TDS is applicable on payments made to truck operators under Section 194C.</w:t>
      </w:r>
    </w:p>
    <w:p w14:paraId="28570707" w14:textId="77777777" w:rsidR="00EB3B59" w:rsidRDefault="00EB3B59"/>
    <w:sectPr w:rsidR="00EB3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0597"/>
    <w:multiLevelType w:val="multilevel"/>
    <w:tmpl w:val="6688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A6DE9"/>
    <w:multiLevelType w:val="multilevel"/>
    <w:tmpl w:val="C42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878C4"/>
    <w:multiLevelType w:val="multilevel"/>
    <w:tmpl w:val="74F6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C1E33"/>
    <w:multiLevelType w:val="multilevel"/>
    <w:tmpl w:val="9136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70BB5"/>
    <w:multiLevelType w:val="multilevel"/>
    <w:tmpl w:val="932C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83724"/>
    <w:multiLevelType w:val="multilevel"/>
    <w:tmpl w:val="5B2E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00373"/>
    <w:multiLevelType w:val="multilevel"/>
    <w:tmpl w:val="EFD6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738A7"/>
    <w:multiLevelType w:val="multilevel"/>
    <w:tmpl w:val="37BE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5E0004"/>
    <w:multiLevelType w:val="multilevel"/>
    <w:tmpl w:val="92E2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023812">
    <w:abstractNumId w:val="6"/>
  </w:num>
  <w:num w:numId="2" w16cid:durableId="1566716918">
    <w:abstractNumId w:val="3"/>
  </w:num>
  <w:num w:numId="3" w16cid:durableId="1089885563">
    <w:abstractNumId w:val="2"/>
  </w:num>
  <w:num w:numId="4" w16cid:durableId="1638486007">
    <w:abstractNumId w:val="1"/>
  </w:num>
  <w:num w:numId="5" w16cid:durableId="1193687529">
    <w:abstractNumId w:val="0"/>
  </w:num>
  <w:num w:numId="6" w16cid:durableId="621111821">
    <w:abstractNumId w:val="7"/>
  </w:num>
  <w:num w:numId="7" w16cid:durableId="2021155048">
    <w:abstractNumId w:val="5"/>
  </w:num>
  <w:num w:numId="8" w16cid:durableId="711535035">
    <w:abstractNumId w:val="8"/>
  </w:num>
  <w:num w:numId="9" w16cid:durableId="1337997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3B"/>
    <w:rsid w:val="00407D3B"/>
    <w:rsid w:val="004560AC"/>
    <w:rsid w:val="00615F9E"/>
    <w:rsid w:val="00E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3508"/>
  <w15:chartTrackingRefBased/>
  <w15:docId w15:val="{59F73187-146D-4EFE-990C-9CAB56F5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919633533228</dc:creator>
  <cp:keywords/>
  <dc:description/>
  <cp:lastModifiedBy>919633533228</cp:lastModifiedBy>
  <cp:revision>1</cp:revision>
  <dcterms:created xsi:type="dcterms:W3CDTF">2024-08-05T15:10:00Z</dcterms:created>
  <dcterms:modified xsi:type="dcterms:W3CDTF">2024-08-05T15:11:00Z</dcterms:modified>
</cp:coreProperties>
</file>