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4A" w:rsidRPr="00BD5A9E" w:rsidRDefault="00BD5A9E" w:rsidP="00BD5A9E">
      <w:pPr>
        <w:spacing w:after="0" w:line="312" w:lineRule="auto"/>
        <w:jc w:val="center"/>
        <w:rPr>
          <w:rFonts w:ascii="Verdana" w:hAnsi="Verdana"/>
          <w:b/>
          <w:lang w:val="en-US"/>
        </w:rPr>
      </w:pPr>
      <w:r w:rsidRPr="00BD5A9E">
        <w:rPr>
          <w:rFonts w:ascii="Verdana" w:hAnsi="Verdana"/>
          <w:b/>
          <w:lang w:val="en-US"/>
        </w:rPr>
        <w:t>MCQ: Reassessment u/s 147, Issue of Notice u/s 148</w:t>
      </w:r>
    </w:p>
    <w:p w:rsidR="00BD5A9E" w:rsidRDefault="00BD5A9E" w:rsidP="00BD5A9E">
      <w:pPr>
        <w:spacing w:after="0" w:line="312" w:lineRule="auto"/>
        <w:rPr>
          <w:rFonts w:ascii="Verdana" w:hAnsi="Verdana"/>
          <w:lang w:val="en-US"/>
        </w:rPr>
      </w:pPr>
    </w:p>
    <w:p w:rsidR="00D3095B" w:rsidRDefault="00D3095B" w:rsidP="00D3095B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182E9E">
        <w:rPr>
          <w:rFonts w:ascii="Verdana" w:hAnsi="Verdana"/>
          <w:sz w:val="20"/>
          <w:szCs w:val="20"/>
          <w:lang w:val="en-US"/>
        </w:rPr>
        <w:t>Time Limit to Issue a Notice Under Section 148</w:t>
      </w:r>
      <w:r>
        <w:rPr>
          <w:rFonts w:ascii="Verdana" w:hAnsi="Verdana"/>
          <w:sz w:val="20"/>
          <w:szCs w:val="20"/>
          <w:lang w:val="en-US"/>
        </w:rPr>
        <w:t xml:space="preserve"> in case of income escaped  amounting Rs.</w:t>
      </w:r>
      <w:r>
        <w:rPr>
          <w:rFonts w:ascii="Verdana" w:hAnsi="Verdana"/>
          <w:sz w:val="20"/>
          <w:szCs w:val="20"/>
          <w:lang w:val="en-US"/>
        </w:rPr>
        <w:t>4</w:t>
      </w:r>
      <w:r>
        <w:rPr>
          <w:rFonts w:ascii="Verdana" w:hAnsi="Verdana"/>
          <w:sz w:val="20"/>
          <w:szCs w:val="20"/>
          <w:lang w:val="en-US"/>
        </w:rPr>
        <w:t>5 lac as per department’s view is ……………………..</w:t>
      </w:r>
    </w:p>
    <w:p w:rsidR="00D3095B" w:rsidRDefault="00D3095B" w:rsidP="00D3095B">
      <w:pPr>
        <w:pStyle w:val="ListParagraph"/>
        <w:spacing w:after="0" w:line="312" w:lineRule="auto"/>
        <w:ind w:left="426"/>
        <w:jc w:val="both"/>
        <w:rPr>
          <w:rFonts w:ascii="Verdana" w:hAnsi="Verdana"/>
          <w:sz w:val="20"/>
          <w:szCs w:val="20"/>
          <w:lang w:val="en-US"/>
        </w:rPr>
      </w:pPr>
    </w:p>
    <w:p w:rsidR="00D3095B" w:rsidRPr="00182E9E" w:rsidRDefault="00D3095B" w:rsidP="00D3095B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182E9E">
        <w:rPr>
          <w:rFonts w:ascii="Verdana" w:hAnsi="Verdana"/>
          <w:sz w:val="20"/>
          <w:szCs w:val="20"/>
          <w:lang w:val="en-US"/>
        </w:rPr>
        <w:t>1 year from the end of the relevant assessment years in normal cases</w:t>
      </w:r>
    </w:p>
    <w:p w:rsidR="00D3095B" w:rsidRPr="00D3095B" w:rsidRDefault="00D3095B" w:rsidP="00D3095B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D3095B">
        <w:rPr>
          <w:rFonts w:ascii="Verdana" w:hAnsi="Verdana"/>
          <w:b/>
          <w:sz w:val="20"/>
          <w:szCs w:val="20"/>
          <w:lang w:val="en-US"/>
        </w:rPr>
        <w:t>3 years from the end of the relevant assessment years in normal cases</w:t>
      </w:r>
    </w:p>
    <w:p w:rsidR="00D3095B" w:rsidRPr="00D3095B" w:rsidRDefault="00D3095B" w:rsidP="00D3095B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D3095B">
        <w:rPr>
          <w:rFonts w:ascii="Verdana" w:hAnsi="Verdana"/>
          <w:sz w:val="20"/>
          <w:szCs w:val="20"/>
          <w:lang w:val="en-US"/>
        </w:rPr>
        <w:t>5 years from the end of the relevant assessment years in normal cases</w:t>
      </w:r>
    </w:p>
    <w:p w:rsidR="00D3095B" w:rsidRPr="00182E9E" w:rsidRDefault="00D3095B" w:rsidP="00D3095B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182E9E">
        <w:rPr>
          <w:rFonts w:ascii="Verdana" w:hAnsi="Verdana"/>
          <w:sz w:val="20"/>
          <w:szCs w:val="20"/>
          <w:lang w:val="en-US"/>
        </w:rPr>
        <w:t>5 years from the end of the relevant assessment years in specified cases</w:t>
      </w:r>
    </w:p>
    <w:p w:rsidR="00BD5A9E" w:rsidRDefault="00BD5A9E" w:rsidP="00BD5A9E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BD5A9E" w:rsidRDefault="004C201C" w:rsidP="00742370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Under </w:t>
      </w:r>
      <w:r w:rsidRPr="004C201C">
        <w:rPr>
          <w:rFonts w:ascii="Verdana" w:hAnsi="Verdana"/>
          <w:sz w:val="20"/>
          <w:szCs w:val="20"/>
          <w:lang w:val="en-US"/>
        </w:rPr>
        <w:t>Section 148A in the Income Tax Act</w:t>
      </w:r>
      <w:r>
        <w:rPr>
          <w:rFonts w:ascii="Verdana" w:hAnsi="Verdana"/>
          <w:sz w:val="20"/>
          <w:szCs w:val="20"/>
          <w:lang w:val="en-US"/>
        </w:rPr>
        <w:t xml:space="preserve">, </w:t>
      </w:r>
      <w:r w:rsidRPr="004C201C">
        <w:rPr>
          <w:rFonts w:ascii="Verdana" w:hAnsi="Verdana"/>
          <w:sz w:val="20"/>
          <w:szCs w:val="20"/>
          <w:lang w:val="en-US"/>
        </w:rPr>
        <w:t>the taxpayer has the right to be heard by the officer</w:t>
      </w:r>
      <w:r w:rsidR="00742370">
        <w:rPr>
          <w:rFonts w:ascii="Verdana" w:hAnsi="Verdana"/>
          <w:sz w:val="20"/>
          <w:szCs w:val="20"/>
          <w:lang w:val="en-US"/>
        </w:rPr>
        <w:t xml:space="preserve"> by </w:t>
      </w:r>
      <w:r w:rsidR="00742370" w:rsidRPr="00742370">
        <w:rPr>
          <w:rFonts w:ascii="Verdana" w:hAnsi="Verdana"/>
          <w:sz w:val="20"/>
          <w:szCs w:val="20"/>
          <w:lang w:val="en-US"/>
        </w:rPr>
        <w:t>allow</w:t>
      </w:r>
      <w:r w:rsidR="00742370">
        <w:rPr>
          <w:rFonts w:ascii="Verdana" w:hAnsi="Verdana"/>
          <w:sz w:val="20"/>
          <w:szCs w:val="20"/>
          <w:lang w:val="en-US"/>
        </w:rPr>
        <w:t>ing</w:t>
      </w:r>
      <w:r w:rsidR="00742370" w:rsidRPr="00742370">
        <w:rPr>
          <w:rFonts w:ascii="Verdana" w:hAnsi="Verdana"/>
          <w:sz w:val="20"/>
          <w:szCs w:val="20"/>
          <w:lang w:val="en-US"/>
        </w:rPr>
        <w:t xml:space="preserve"> the taxpayer at least </w:t>
      </w:r>
      <w:r w:rsidR="00742370">
        <w:rPr>
          <w:rFonts w:ascii="Verdana" w:hAnsi="Verdana"/>
          <w:sz w:val="20"/>
          <w:szCs w:val="20"/>
          <w:lang w:val="en-US"/>
        </w:rPr>
        <w:t xml:space="preserve">…………… </w:t>
      </w:r>
      <w:r w:rsidR="00742370" w:rsidRPr="00742370">
        <w:rPr>
          <w:rFonts w:ascii="Verdana" w:hAnsi="Verdana"/>
          <w:sz w:val="20"/>
          <w:szCs w:val="20"/>
          <w:lang w:val="en-US"/>
        </w:rPr>
        <w:t xml:space="preserve">days but no more than </w:t>
      </w:r>
      <w:r w:rsidR="00742370">
        <w:rPr>
          <w:rFonts w:ascii="Verdana" w:hAnsi="Verdana"/>
          <w:sz w:val="20"/>
          <w:szCs w:val="20"/>
          <w:lang w:val="en-US"/>
        </w:rPr>
        <w:t>…………</w:t>
      </w:r>
      <w:r w:rsidR="00742370" w:rsidRPr="00742370">
        <w:rPr>
          <w:rFonts w:ascii="Verdana" w:hAnsi="Verdana"/>
          <w:sz w:val="20"/>
          <w:szCs w:val="20"/>
          <w:lang w:val="en-US"/>
        </w:rPr>
        <w:t xml:space="preserve"> days to provide their explanation</w:t>
      </w:r>
      <w:r w:rsidR="00742370">
        <w:rPr>
          <w:rFonts w:ascii="Verdana" w:hAnsi="Verdana"/>
          <w:sz w:val="20"/>
          <w:szCs w:val="20"/>
          <w:lang w:val="en-US"/>
        </w:rPr>
        <w:t>.</w:t>
      </w:r>
    </w:p>
    <w:p w:rsidR="00742370" w:rsidRPr="00742370" w:rsidRDefault="00742370" w:rsidP="00742370">
      <w:pPr>
        <w:pStyle w:val="ListParagraph"/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742370">
        <w:rPr>
          <w:rFonts w:ascii="Verdana" w:hAnsi="Verdana"/>
          <w:b/>
          <w:sz w:val="20"/>
          <w:szCs w:val="20"/>
          <w:lang w:val="en-US"/>
        </w:rPr>
        <w:t>7 &amp; 30</w:t>
      </w:r>
    </w:p>
    <w:p w:rsidR="00742370" w:rsidRDefault="00742370" w:rsidP="00742370">
      <w:pPr>
        <w:pStyle w:val="ListParagraph"/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7 &amp; 45</w:t>
      </w:r>
    </w:p>
    <w:p w:rsidR="00742370" w:rsidRDefault="00742370" w:rsidP="00742370">
      <w:pPr>
        <w:pStyle w:val="ListParagraph"/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15 &amp; 45</w:t>
      </w:r>
    </w:p>
    <w:p w:rsidR="00742370" w:rsidRDefault="00742370" w:rsidP="00742370">
      <w:pPr>
        <w:pStyle w:val="ListParagraph"/>
        <w:numPr>
          <w:ilvl w:val="0"/>
          <w:numId w:val="3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15 &amp; 30 </w:t>
      </w:r>
    </w:p>
    <w:p w:rsidR="004C201C" w:rsidRDefault="004C201C" w:rsidP="00742370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42370" w:rsidRDefault="00182E9E" w:rsidP="00182E9E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</w:t>
      </w:r>
      <w:r w:rsidRPr="00182E9E">
        <w:rPr>
          <w:rFonts w:ascii="Verdana" w:hAnsi="Verdana"/>
          <w:sz w:val="20"/>
          <w:szCs w:val="20"/>
          <w:lang w:val="en-US"/>
        </w:rPr>
        <w:t>Time Limit to Issue a Notice Under Section 148</w:t>
      </w:r>
      <w:r w:rsidR="00D3095B">
        <w:rPr>
          <w:rFonts w:ascii="Verdana" w:hAnsi="Verdana"/>
          <w:sz w:val="20"/>
          <w:szCs w:val="20"/>
          <w:lang w:val="en-US"/>
        </w:rPr>
        <w:t xml:space="preserve"> in case of income </w:t>
      </w:r>
      <w:r w:rsidR="00D3095B">
        <w:rPr>
          <w:rFonts w:ascii="Verdana" w:hAnsi="Verdana"/>
          <w:sz w:val="20"/>
          <w:szCs w:val="20"/>
          <w:lang w:val="en-US"/>
        </w:rPr>
        <w:t xml:space="preserve">escaped  </w:t>
      </w:r>
      <w:r w:rsidR="00D3095B">
        <w:rPr>
          <w:rFonts w:ascii="Verdana" w:hAnsi="Verdana"/>
          <w:sz w:val="20"/>
          <w:szCs w:val="20"/>
          <w:lang w:val="en-US"/>
        </w:rPr>
        <w:t xml:space="preserve">amounting Rs.75 lac as per department’s view </w:t>
      </w:r>
      <w:r>
        <w:rPr>
          <w:rFonts w:ascii="Verdana" w:hAnsi="Verdana"/>
          <w:sz w:val="20"/>
          <w:szCs w:val="20"/>
          <w:lang w:val="en-US"/>
        </w:rPr>
        <w:t>is ……………………..</w:t>
      </w:r>
    </w:p>
    <w:p w:rsidR="00182E9E" w:rsidRPr="00182E9E" w:rsidRDefault="00182E9E" w:rsidP="00A70FC7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182E9E">
        <w:rPr>
          <w:rFonts w:ascii="Verdana" w:hAnsi="Verdana"/>
          <w:sz w:val="20"/>
          <w:szCs w:val="20"/>
          <w:lang w:val="en-US"/>
        </w:rPr>
        <w:t>1 year from the end of the relevant assessment years in normal cases</w:t>
      </w:r>
    </w:p>
    <w:p w:rsidR="00742370" w:rsidRPr="00D3095B" w:rsidRDefault="00182E9E" w:rsidP="00A70FC7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D3095B">
        <w:rPr>
          <w:rFonts w:ascii="Verdana" w:hAnsi="Verdana"/>
          <w:sz w:val="20"/>
          <w:szCs w:val="20"/>
          <w:lang w:val="en-US"/>
        </w:rPr>
        <w:t>3 years from the end of the relevant assessment years in normal cases</w:t>
      </w:r>
    </w:p>
    <w:p w:rsidR="00182E9E" w:rsidRPr="00D3095B" w:rsidRDefault="00182E9E" w:rsidP="00A70FC7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D3095B">
        <w:rPr>
          <w:rFonts w:ascii="Verdana" w:hAnsi="Verdana"/>
          <w:b/>
          <w:sz w:val="20"/>
          <w:szCs w:val="20"/>
          <w:lang w:val="en-US"/>
        </w:rPr>
        <w:t>5 years from the end of the relevant assessment years in normal cases</w:t>
      </w:r>
    </w:p>
    <w:p w:rsidR="00182E9E" w:rsidRPr="00182E9E" w:rsidRDefault="00182E9E" w:rsidP="00A70FC7">
      <w:pPr>
        <w:pStyle w:val="ListParagraph"/>
        <w:numPr>
          <w:ilvl w:val="0"/>
          <w:numId w:val="4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182E9E">
        <w:rPr>
          <w:rFonts w:ascii="Verdana" w:hAnsi="Verdana"/>
          <w:sz w:val="20"/>
          <w:szCs w:val="20"/>
          <w:lang w:val="en-US"/>
        </w:rPr>
        <w:t>5 years from the end of the relevant assessment years in specified cases</w:t>
      </w:r>
    </w:p>
    <w:p w:rsidR="00742370" w:rsidRDefault="00742370" w:rsidP="00742370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A70FC7" w:rsidRPr="00A70FC7" w:rsidRDefault="00A70FC7" w:rsidP="00A70FC7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 w:rsidRPr="00A70FC7">
        <w:rPr>
          <w:rFonts w:ascii="Verdana" w:hAnsi="Verdana"/>
          <w:sz w:val="20"/>
          <w:szCs w:val="20"/>
          <w:lang w:val="en-US"/>
        </w:rPr>
        <w:t xml:space="preserve">The Assessing Officer will issue a notice </w:t>
      </w:r>
      <w:r w:rsidR="00D3095B">
        <w:rPr>
          <w:rFonts w:ascii="Verdana" w:hAnsi="Verdana"/>
          <w:sz w:val="20"/>
          <w:szCs w:val="20"/>
          <w:lang w:val="en-US"/>
        </w:rPr>
        <w:t xml:space="preserve">U/s 148A </w:t>
      </w:r>
      <w:r w:rsidRPr="00A70FC7">
        <w:rPr>
          <w:rFonts w:ascii="Verdana" w:hAnsi="Verdana"/>
          <w:sz w:val="20"/>
          <w:szCs w:val="20"/>
          <w:lang w:val="en-US"/>
        </w:rPr>
        <w:t>only if the following conditions are met for the relevant assessment year:</w:t>
      </w:r>
    </w:p>
    <w:p w:rsidR="00A70FC7" w:rsidRDefault="00A70FC7" w:rsidP="003A04FD">
      <w:pPr>
        <w:pStyle w:val="ListParagraph"/>
        <w:numPr>
          <w:ilvl w:val="0"/>
          <w:numId w:val="5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D3095B">
        <w:rPr>
          <w:rFonts w:ascii="Verdana" w:hAnsi="Verdana"/>
          <w:sz w:val="20"/>
          <w:szCs w:val="20"/>
          <w:lang w:val="en-US"/>
        </w:rPr>
        <w:t>The taxpayer failed to file their returns after receiving a notice under Section 142 or Section 148(1).</w:t>
      </w:r>
    </w:p>
    <w:p w:rsidR="00D3095B" w:rsidRDefault="00D3095B" w:rsidP="00D3095B">
      <w:pPr>
        <w:pStyle w:val="ListParagraph"/>
        <w:numPr>
          <w:ilvl w:val="0"/>
          <w:numId w:val="5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D3095B">
        <w:rPr>
          <w:rFonts w:ascii="Verdana" w:hAnsi="Verdana"/>
          <w:sz w:val="20"/>
          <w:szCs w:val="20"/>
          <w:lang w:val="en-US"/>
        </w:rPr>
        <w:t>The Investigating authority has enquired against the transaction of the assessee</w:t>
      </w:r>
      <w:r>
        <w:rPr>
          <w:rFonts w:ascii="Verdana" w:hAnsi="Verdana"/>
          <w:sz w:val="20"/>
          <w:szCs w:val="20"/>
          <w:lang w:val="en-US"/>
        </w:rPr>
        <w:t xml:space="preserve"> for which the notice U/s 148A is required to be issued</w:t>
      </w:r>
    </w:p>
    <w:p w:rsidR="00A70FC7" w:rsidRPr="00A70FC7" w:rsidRDefault="00D3095B" w:rsidP="00A70FC7">
      <w:pPr>
        <w:pStyle w:val="ListParagraph"/>
        <w:numPr>
          <w:ilvl w:val="0"/>
          <w:numId w:val="5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L’d A.O. has taken approval from the Appropriate authority for the issuance of Notice U/s 148A.</w:t>
      </w:r>
    </w:p>
    <w:p w:rsidR="00A70FC7" w:rsidRPr="00A70FC7" w:rsidRDefault="00A70FC7" w:rsidP="00A70FC7">
      <w:pPr>
        <w:pStyle w:val="ListParagraph"/>
        <w:numPr>
          <w:ilvl w:val="0"/>
          <w:numId w:val="5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A70FC7">
        <w:rPr>
          <w:rFonts w:ascii="Verdana" w:hAnsi="Verdana"/>
          <w:b/>
          <w:sz w:val="20"/>
          <w:szCs w:val="20"/>
          <w:lang w:val="en-US"/>
        </w:rPr>
        <w:t>A</w:t>
      </w:r>
      <w:r w:rsidR="00D3095B">
        <w:rPr>
          <w:rFonts w:ascii="Verdana" w:hAnsi="Verdana"/>
          <w:b/>
          <w:sz w:val="20"/>
          <w:szCs w:val="20"/>
          <w:lang w:val="en-US"/>
        </w:rPr>
        <w:t xml:space="preserve">lternative </w:t>
      </w:r>
      <w:r w:rsidR="00817E33">
        <w:rPr>
          <w:rFonts w:ascii="Verdana" w:hAnsi="Verdana"/>
          <w:b/>
          <w:sz w:val="20"/>
          <w:szCs w:val="20"/>
          <w:lang w:val="en-US"/>
        </w:rPr>
        <w:t>(</w:t>
      </w:r>
      <w:r w:rsidR="00D3095B">
        <w:rPr>
          <w:rFonts w:ascii="Verdana" w:hAnsi="Verdana"/>
          <w:b/>
          <w:sz w:val="20"/>
          <w:szCs w:val="20"/>
          <w:lang w:val="en-US"/>
        </w:rPr>
        <w:t>B</w:t>
      </w:r>
      <w:r w:rsidR="00817E33">
        <w:rPr>
          <w:rFonts w:ascii="Verdana" w:hAnsi="Verdana"/>
          <w:b/>
          <w:sz w:val="20"/>
          <w:szCs w:val="20"/>
          <w:lang w:val="en-US"/>
        </w:rPr>
        <w:t>)</w:t>
      </w:r>
      <w:r w:rsidR="00D3095B">
        <w:rPr>
          <w:rFonts w:ascii="Verdana" w:hAnsi="Verdana"/>
          <w:b/>
          <w:sz w:val="20"/>
          <w:szCs w:val="20"/>
          <w:lang w:val="en-US"/>
        </w:rPr>
        <w:t xml:space="preserve"> and Alternative </w:t>
      </w:r>
      <w:r w:rsidR="00817E33">
        <w:rPr>
          <w:rFonts w:ascii="Verdana" w:hAnsi="Verdana"/>
          <w:b/>
          <w:sz w:val="20"/>
          <w:szCs w:val="20"/>
          <w:lang w:val="en-US"/>
        </w:rPr>
        <w:t>(</w:t>
      </w:r>
      <w:r w:rsidR="00D3095B">
        <w:rPr>
          <w:rFonts w:ascii="Verdana" w:hAnsi="Verdana"/>
          <w:b/>
          <w:sz w:val="20"/>
          <w:szCs w:val="20"/>
          <w:lang w:val="en-US"/>
        </w:rPr>
        <w:t>C</w:t>
      </w:r>
      <w:r w:rsidR="00817E33">
        <w:rPr>
          <w:rFonts w:ascii="Verdana" w:hAnsi="Verdana"/>
          <w:b/>
          <w:sz w:val="20"/>
          <w:szCs w:val="20"/>
          <w:lang w:val="en-US"/>
        </w:rPr>
        <w:t>)</w:t>
      </w:r>
      <w:r w:rsidR="00D3095B">
        <w:rPr>
          <w:rFonts w:ascii="Verdana" w:hAnsi="Verdana"/>
          <w:b/>
          <w:sz w:val="20"/>
          <w:szCs w:val="20"/>
          <w:lang w:val="en-US"/>
        </w:rPr>
        <w:t xml:space="preserve"> only</w:t>
      </w:r>
    </w:p>
    <w:p w:rsidR="00A70FC7" w:rsidRDefault="00A70FC7" w:rsidP="00742370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A70FC7" w:rsidRDefault="00817E33" w:rsidP="00081CE4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W.e.f from 01.04.2025 the </w:t>
      </w:r>
      <w:r w:rsidR="00081CE4" w:rsidRPr="00081CE4">
        <w:rPr>
          <w:rFonts w:ascii="Verdana" w:hAnsi="Verdana"/>
          <w:sz w:val="20"/>
          <w:szCs w:val="20"/>
          <w:lang w:val="en-US"/>
        </w:rPr>
        <w:t>updated return can be filed up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081CE4" w:rsidRPr="00081CE4">
        <w:rPr>
          <w:rFonts w:ascii="Verdana" w:hAnsi="Verdana"/>
          <w:sz w:val="20"/>
          <w:szCs w:val="20"/>
          <w:lang w:val="en-US"/>
        </w:rPr>
        <w:t xml:space="preserve">to </w:t>
      </w:r>
      <w:r w:rsidR="00081CE4">
        <w:rPr>
          <w:rFonts w:ascii="Verdana" w:hAnsi="Verdana"/>
          <w:sz w:val="20"/>
          <w:szCs w:val="20"/>
          <w:lang w:val="en-US"/>
        </w:rPr>
        <w:t xml:space="preserve">………………. </w:t>
      </w:r>
      <w:r w:rsidR="00081CE4" w:rsidRPr="00081CE4">
        <w:rPr>
          <w:rFonts w:ascii="Verdana" w:hAnsi="Verdana"/>
          <w:sz w:val="20"/>
          <w:szCs w:val="20"/>
          <w:lang w:val="en-US"/>
        </w:rPr>
        <w:t>from the end of the relevant assessment year if it is found that there is no fit case to issue a notice under section 148 of the Act</w:t>
      </w:r>
      <w:r w:rsidR="00081CE4">
        <w:rPr>
          <w:rFonts w:ascii="Verdana" w:hAnsi="Verdana"/>
          <w:sz w:val="20"/>
          <w:szCs w:val="20"/>
          <w:lang w:val="en-US"/>
        </w:rPr>
        <w:t>.</w:t>
      </w:r>
    </w:p>
    <w:p w:rsidR="00081CE4" w:rsidRDefault="00081CE4" w:rsidP="00081CE4">
      <w:pPr>
        <w:pStyle w:val="ListParagraph"/>
        <w:numPr>
          <w:ilvl w:val="0"/>
          <w:numId w:val="6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12</w:t>
      </w:r>
      <w:r w:rsidRPr="00081CE4">
        <w:rPr>
          <w:rFonts w:ascii="Verdana" w:hAnsi="Verdana"/>
          <w:sz w:val="20"/>
          <w:szCs w:val="20"/>
          <w:lang w:val="en-US"/>
        </w:rPr>
        <w:t xml:space="preserve"> months</w:t>
      </w:r>
    </w:p>
    <w:p w:rsidR="00081CE4" w:rsidRDefault="00081CE4" w:rsidP="00081CE4">
      <w:pPr>
        <w:pStyle w:val="ListParagraph"/>
        <w:numPr>
          <w:ilvl w:val="0"/>
          <w:numId w:val="6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24</w:t>
      </w:r>
      <w:r w:rsidRPr="00081CE4">
        <w:rPr>
          <w:rFonts w:ascii="Verdana" w:hAnsi="Verdana"/>
          <w:sz w:val="20"/>
          <w:szCs w:val="20"/>
          <w:lang w:val="en-US"/>
        </w:rPr>
        <w:t xml:space="preserve"> months</w:t>
      </w:r>
    </w:p>
    <w:p w:rsidR="00081CE4" w:rsidRDefault="00081CE4" w:rsidP="00081CE4">
      <w:pPr>
        <w:pStyle w:val="ListParagraph"/>
        <w:numPr>
          <w:ilvl w:val="0"/>
          <w:numId w:val="6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36</w:t>
      </w:r>
      <w:r w:rsidRPr="00081CE4">
        <w:rPr>
          <w:rFonts w:ascii="Verdana" w:hAnsi="Verdana"/>
          <w:sz w:val="20"/>
          <w:szCs w:val="20"/>
          <w:lang w:val="en-US"/>
        </w:rPr>
        <w:t xml:space="preserve"> months</w:t>
      </w:r>
    </w:p>
    <w:p w:rsidR="00081CE4" w:rsidRDefault="00081CE4" w:rsidP="00081CE4">
      <w:pPr>
        <w:pStyle w:val="ListParagraph"/>
        <w:numPr>
          <w:ilvl w:val="0"/>
          <w:numId w:val="6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081CE4">
        <w:rPr>
          <w:rFonts w:ascii="Verdana" w:hAnsi="Verdana"/>
          <w:b/>
          <w:sz w:val="20"/>
          <w:szCs w:val="20"/>
          <w:lang w:val="en-US"/>
        </w:rPr>
        <w:t>48 months</w:t>
      </w:r>
    </w:p>
    <w:p w:rsidR="00081CE4" w:rsidRDefault="00081CE4" w:rsidP="00081CE4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081CE4" w:rsidRDefault="00081CE4" w:rsidP="00081CE4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081CE4" w:rsidRDefault="00AE383A" w:rsidP="00AE383A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 w:rsidRPr="00AE383A">
        <w:rPr>
          <w:rFonts w:ascii="Verdana" w:hAnsi="Verdana"/>
          <w:sz w:val="20"/>
          <w:szCs w:val="20"/>
          <w:lang w:val="en-US"/>
        </w:rPr>
        <w:lastRenderedPageBreak/>
        <w:t xml:space="preserve">Section </w:t>
      </w:r>
      <w:r>
        <w:rPr>
          <w:rFonts w:ascii="Verdana" w:hAnsi="Verdana"/>
          <w:sz w:val="20"/>
          <w:szCs w:val="20"/>
          <w:lang w:val="en-US"/>
        </w:rPr>
        <w:t>…………….</w:t>
      </w:r>
      <w:r w:rsidRPr="00AE383A">
        <w:rPr>
          <w:rFonts w:ascii="Verdana" w:hAnsi="Verdana"/>
          <w:sz w:val="20"/>
          <w:szCs w:val="20"/>
          <w:lang w:val="en-US"/>
        </w:rPr>
        <w:t xml:space="preserve"> of the Income Tax Act empowers the Assessing Officer (AO) to reassess or re compute income that may have not disclosed due to certain reasons.</w:t>
      </w:r>
    </w:p>
    <w:p w:rsidR="00AE383A" w:rsidRPr="00724EB1" w:rsidRDefault="00AE383A" w:rsidP="00724EB1">
      <w:pPr>
        <w:pStyle w:val="ListParagraph"/>
        <w:numPr>
          <w:ilvl w:val="0"/>
          <w:numId w:val="9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724EB1">
        <w:rPr>
          <w:rFonts w:ascii="Verdana" w:hAnsi="Verdana"/>
          <w:b/>
          <w:sz w:val="20"/>
          <w:szCs w:val="20"/>
          <w:lang w:val="en-US"/>
        </w:rPr>
        <w:t>147</w:t>
      </w:r>
    </w:p>
    <w:p w:rsidR="00AE383A" w:rsidRDefault="00AE383A" w:rsidP="00724EB1">
      <w:pPr>
        <w:pStyle w:val="ListParagraph"/>
        <w:numPr>
          <w:ilvl w:val="0"/>
          <w:numId w:val="9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148</w:t>
      </w:r>
    </w:p>
    <w:p w:rsidR="00AE383A" w:rsidRDefault="00AE383A" w:rsidP="00724EB1">
      <w:pPr>
        <w:pStyle w:val="ListParagraph"/>
        <w:numPr>
          <w:ilvl w:val="0"/>
          <w:numId w:val="9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26</w:t>
      </w:r>
      <w:r w:rsidR="00724EB1">
        <w:rPr>
          <w:rFonts w:ascii="Verdana" w:hAnsi="Verdana"/>
          <w:sz w:val="20"/>
          <w:szCs w:val="20"/>
          <w:lang w:val="en-US"/>
        </w:rPr>
        <w:t>3</w:t>
      </w:r>
    </w:p>
    <w:p w:rsidR="00724EB1" w:rsidRDefault="00724EB1" w:rsidP="00724EB1">
      <w:pPr>
        <w:pStyle w:val="ListParagraph"/>
        <w:numPr>
          <w:ilvl w:val="0"/>
          <w:numId w:val="9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264</w:t>
      </w:r>
    </w:p>
    <w:p w:rsidR="00AE383A" w:rsidRDefault="00AE383A" w:rsidP="00724EB1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24EB1" w:rsidRDefault="007E318D" w:rsidP="007E318D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Objectives of Section 147 are:</w:t>
      </w:r>
    </w:p>
    <w:p w:rsidR="007E318D" w:rsidRPr="007E318D" w:rsidRDefault="007E318D" w:rsidP="007E318D">
      <w:pPr>
        <w:pStyle w:val="ListParagraph"/>
        <w:numPr>
          <w:ilvl w:val="0"/>
          <w:numId w:val="10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7E318D">
        <w:rPr>
          <w:rFonts w:ascii="Verdana" w:hAnsi="Verdana"/>
          <w:sz w:val="20"/>
          <w:szCs w:val="20"/>
          <w:lang w:val="en-US"/>
        </w:rPr>
        <w:t>It acts as a corrective tool to address omissions or inaccuracies in income disclosure.</w:t>
      </w:r>
    </w:p>
    <w:p w:rsidR="007E318D" w:rsidRPr="007E318D" w:rsidRDefault="007E318D" w:rsidP="007E318D">
      <w:pPr>
        <w:pStyle w:val="ListParagraph"/>
        <w:numPr>
          <w:ilvl w:val="0"/>
          <w:numId w:val="10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7E318D">
        <w:rPr>
          <w:rFonts w:ascii="Verdana" w:hAnsi="Verdana"/>
          <w:sz w:val="20"/>
          <w:szCs w:val="20"/>
          <w:lang w:val="en-US"/>
        </w:rPr>
        <w:t>defines the AO’s authority and the procedures to be followed during such reassessments</w:t>
      </w:r>
    </w:p>
    <w:p w:rsidR="007E318D" w:rsidRPr="007E318D" w:rsidRDefault="007E318D" w:rsidP="007E318D">
      <w:pPr>
        <w:pStyle w:val="ListParagraph"/>
        <w:numPr>
          <w:ilvl w:val="0"/>
          <w:numId w:val="10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7E318D">
        <w:rPr>
          <w:rFonts w:ascii="Verdana" w:hAnsi="Verdana"/>
          <w:b/>
          <w:sz w:val="20"/>
          <w:szCs w:val="20"/>
          <w:lang w:val="en-US"/>
        </w:rPr>
        <w:t>Both</w:t>
      </w:r>
    </w:p>
    <w:p w:rsidR="007E318D" w:rsidRPr="007E318D" w:rsidRDefault="007E318D" w:rsidP="007E318D">
      <w:pPr>
        <w:pStyle w:val="ListParagraph"/>
        <w:numPr>
          <w:ilvl w:val="0"/>
          <w:numId w:val="10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7E318D">
        <w:rPr>
          <w:rFonts w:ascii="Verdana" w:hAnsi="Verdana"/>
          <w:sz w:val="20"/>
          <w:szCs w:val="20"/>
          <w:lang w:val="en-US"/>
        </w:rPr>
        <w:t>None of the above</w:t>
      </w:r>
    </w:p>
    <w:p w:rsidR="00081CE4" w:rsidRDefault="00081CE4" w:rsidP="00081CE4">
      <w:p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E3747" w:rsidRDefault="008C37A2" w:rsidP="008C37A2">
      <w:pPr>
        <w:pStyle w:val="ListParagraph"/>
        <w:numPr>
          <w:ilvl w:val="0"/>
          <w:numId w:val="1"/>
        </w:numPr>
        <w:spacing w:after="0" w:line="312" w:lineRule="auto"/>
        <w:ind w:left="567" w:hanging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From </w:t>
      </w:r>
      <w:r w:rsidRPr="008C37A2">
        <w:rPr>
          <w:rFonts w:ascii="Verdana" w:hAnsi="Verdana"/>
          <w:sz w:val="20"/>
          <w:szCs w:val="20"/>
          <w:lang w:val="en-US"/>
        </w:rPr>
        <w:t>AY 202</w:t>
      </w:r>
      <w:r w:rsidR="00495F1B">
        <w:rPr>
          <w:rFonts w:ascii="Verdana" w:hAnsi="Verdana"/>
          <w:sz w:val="20"/>
          <w:szCs w:val="20"/>
          <w:lang w:val="en-US"/>
        </w:rPr>
        <w:t>3</w:t>
      </w:r>
      <w:r w:rsidRPr="008C37A2">
        <w:rPr>
          <w:rFonts w:ascii="Verdana" w:hAnsi="Verdana"/>
          <w:sz w:val="20"/>
          <w:szCs w:val="20"/>
          <w:lang w:val="en-US"/>
        </w:rPr>
        <w:t>-2</w:t>
      </w:r>
      <w:r w:rsidR="00495F1B">
        <w:rPr>
          <w:rFonts w:ascii="Verdana" w:hAnsi="Verdana"/>
          <w:sz w:val="20"/>
          <w:szCs w:val="20"/>
          <w:lang w:val="en-US"/>
        </w:rPr>
        <w:t>4</w:t>
      </w:r>
      <w:r w:rsidRPr="008C37A2">
        <w:rPr>
          <w:rFonts w:ascii="Verdana" w:hAnsi="Verdana"/>
          <w:sz w:val="20"/>
          <w:szCs w:val="20"/>
          <w:lang w:val="en-US"/>
        </w:rPr>
        <w:t xml:space="preserve"> and onwards, the time limit is fixed to complete the </w:t>
      </w:r>
      <w:r w:rsidR="00817E33">
        <w:rPr>
          <w:rFonts w:ascii="Verdana" w:hAnsi="Verdana"/>
          <w:sz w:val="20"/>
          <w:szCs w:val="20"/>
          <w:lang w:val="en-US"/>
        </w:rPr>
        <w:t>Re-</w:t>
      </w:r>
      <w:r w:rsidR="00597417">
        <w:rPr>
          <w:rFonts w:ascii="Verdana" w:hAnsi="Verdana"/>
          <w:sz w:val="20"/>
          <w:szCs w:val="20"/>
          <w:lang w:val="en-US"/>
        </w:rPr>
        <w:t>as</w:t>
      </w:r>
      <w:r w:rsidRPr="008C37A2">
        <w:rPr>
          <w:rFonts w:ascii="Verdana" w:hAnsi="Verdana"/>
          <w:sz w:val="20"/>
          <w:szCs w:val="20"/>
          <w:lang w:val="en-US"/>
        </w:rPr>
        <w:t>s</w:t>
      </w:r>
      <w:r w:rsidR="00597417">
        <w:rPr>
          <w:rFonts w:ascii="Verdana" w:hAnsi="Verdana"/>
          <w:sz w:val="20"/>
          <w:szCs w:val="20"/>
          <w:lang w:val="en-US"/>
        </w:rPr>
        <w:t>ess</w:t>
      </w:r>
      <w:r w:rsidRPr="008C37A2">
        <w:rPr>
          <w:rFonts w:ascii="Verdana" w:hAnsi="Verdana"/>
          <w:sz w:val="20"/>
          <w:szCs w:val="20"/>
          <w:lang w:val="en-US"/>
        </w:rPr>
        <w:t xml:space="preserve">ment </w:t>
      </w:r>
      <w:r w:rsidR="00495F1B">
        <w:rPr>
          <w:rFonts w:ascii="Verdana" w:hAnsi="Verdana"/>
          <w:sz w:val="20"/>
          <w:szCs w:val="20"/>
          <w:lang w:val="en-US"/>
        </w:rPr>
        <w:t xml:space="preserve">is </w:t>
      </w:r>
      <w:r w:rsidRPr="008C37A2">
        <w:rPr>
          <w:rFonts w:ascii="Verdana" w:hAnsi="Verdana"/>
          <w:sz w:val="20"/>
          <w:szCs w:val="20"/>
          <w:lang w:val="en-US"/>
        </w:rPr>
        <w:t xml:space="preserve">within </w:t>
      </w:r>
      <w:r>
        <w:rPr>
          <w:rFonts w:ascii="Verdana" w:hAnsi="Verdana"/>
          <w:sz w:val="20"/>
          <w:szCs w:val="20"/>
          <w:lang w:val="en-US"/>
        </w:rPr>
        <w:t>……………….</w:t>
      </w:r>
      <w:r w:rsidRPr="008C37A2">
        <w:rPr>
          <w:rFonts w:ascii="Verdana" w:hAnsi="Verdana"/>
          <w:sz w:val="20"/>
          <w:szCs w:val="20"/>
          <w:lang w:val="en-US"/>
        </w:rPr>
        <w:t xml:space="preserve"> from the end of the </w:t>
      </w:r>
      <w:r w:rsidR="00817E33">
        <w:rPr>
          <w:rFonts w:ascii="Verdana" w:hAnsi="Verdana"/>
          <w:sz w:val="20"/>
          <w:szCs w:val="20"/>
          <w:lang w:val="en-US"/>
        </w:rPr>
        <w:t>F.Y. in which notice U/s 148 was issued.</w:t>
      </w:r>
    </w:p>
    <w:p w:rsidR="008C37A2" w:rsidRPr="00495F1B" w:rsidRDefault="008C37A2" w:rsidP="008C37A2">
      <w:pPr>
        <w:pStyle w:val="ListParagraph"/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="Verdana" w:hAnsi="Verdana"/>
          <w:sz w:val="20"/>
          <w:szCs w:val="20"/>
          <w:lang w:val="en-US"/>
        </w:rPr>
      </w:pPr>
      <w:r w:rsidRPr="00495F1B">
        <w:rPr>
          <w:rFonts w:ascii="Verdana" w:hAnsi="Verdana"/>
          <w:sz w:val="20"/>
          <w:szCs w:val="20"/>
          <w:lang w:val="en-US"/>
        </w:rPr>
        <w:t>9 Months</w:t>
      </w:r>
    </w:p>
    <w:p w:rsidR="008C37A2" w:rsidRPr="00495F1B" w:rsidRDefault="008C37A2" w:rsidP="008C37A2">
      <w:pPr>
        <w:pStyle w:val="ListParagraph"/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="Verdana" w:hAnsi="Verdana"/>
          <w:b/>
          <w:sz w:val="20"/>
          <w:szCs w:val="20"/>
          <w:lang w:val="en-US"/>
        </w:rPr>
      </w:pPr>
      <w:r w:rsidRPr="00495F1B">
        <w:rPr>
          <w:rFonts w:ascii="Verdana" w:hAnsi="Verdana"/>
          <w:b/>
          <w:sz w:val="20"/>
          <w:szCs w:val="20"/>
          <w:lang w:val="en-US"/>
        </w:rPr>
        <w:t>12 Months</w:t>
      </w:r>
    </w:p>
    <w:p w:rsidR="008C37A2" w:rsidRDefault="008C37A2" w:rsidP="008C37A2">
      <w:pPr>
        <w:pStyle w:val="ListParagraph"/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18 Months</w:t>
      </w:r>
    </w:p>
    <w:p w:rsidR="008C37A2" w:rsidRDefault="008C37A2" w:rsidP="008C37A2">
      <w:pPr>
        <w:pStyle w:val="ListParagraph"/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24 Months</w:t>
      </w:r>
    </w:p>
    <w:p w:rsidR="00817E33" w:rsidRDefault="00817E33" w:rsidP="00817E33">
      <w:pPr>
        <w:pStyle w:val="ListParagraph"/>
        <w:spacing w:after="0" w:line="312" w:lineRule="auto"/>
        <w:ind w:left="993"/>
        <w:jc w:val="both"/>
        <w:rPr>
          <w:rFonts w:ascii="Verdana" w:hAnsi="Verdana"/>
          <w:sz w:val="20"/>
          <w:szCs w:val="20"/>
          <w:lang w:val="en-US"/>
        </w:rPr>
      </w:pPr>
    </w:p>
    <w:p w:rsidR="00817E33" w:rsidRDefault="00817E33" w:rsidP="00817E33">
      <w:pPr>
        <w:pStyle w:val="ListParagraph"/>
        <w:numPr>
          <w:ilvl w:val="0"/>
          <w:numId w:val="1"/>
        </w:numPr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  <w:r w:rsidRPr="00664D57">
        <w:rPr>
          <w:rFonts w:ascii="Verdana" w:hAnsi="Verdana"/>
          <w:sz w:val="20"/>
          <w:szCs w:val="20"/>
          <w:lang w:val="en-US"/>
        </w:rPr>
        <w:t>In cases where the A</w:t>
      </w:r>
      <w:r>
        <w:rPr>
          <w:rFonts w:ascii="Verdana" w:hAnsi="Verdana"/>
          <w:sz w:val="20"/>
          <w:szCs w:val="20"/>
          <w:lang w:val="en-US"/>
        </w:rPr>
        <w:t>.</w:t>
      </w:r>
      <w:r w:rsidRPr="00664D57">
        <w:rPr>
          <w:rFonts w:ascii="Verdana" w:hAnsi="Verdana"/>
          <w:sz w:val="20"/>
          <w:szCs w:val="20"/>
          <w:lang w:val="en-US"/>
        </w:rPr>
        <w:t>O</w:t>
      </w:r>
      <w:r>
        <w:rPr>
          <w:rFonts w:ascii="Verdana" w:hAnsi="Verdana"/>
          <w:sz w:val="20"/>
          <w:szCs w:val="20"/>
          <w:lang w:val="en-US"/>
        </w:rPr>
        <w:t>.</w:t>
      </w:r>
      <w:r w:rsidRPr="00664D57">
        <w:rPr>
          <w:rFonts w:ascii="Verdana" w:hAnsi="Verdana"/>
          <w:sz w:val="20"/>
          <w:szCs w:val="20"/>
          <w:lang w:val="en-US"/>
        </w:rPr>
        <w:t xml:space="preserve"> shall be deemed to have information, which suggests that the income chargeable to tax has escaped assessment</w:t>
      </w:r>
      <w:r>
        <w:rPr>
          <w:rFonts w:ascii="Verdana" w:hAnsi="Verdana"/>
          <w:sz w:val="20"/>
          <w:szCs w:val="20"/>
          <w:lang w:val="en-US"/>
        </w:rPr>
        <w:t>, he may order:</w:t>
      </w:r>
    </w:p>
    <w:p w:rsidR="00817E33" w:rsidRPr="00664D57" w:rsidRDefault="00817E33" w:rsidP="00817E33">
      <w:pPr>
        <w:pStyle w:val="ListParagraph"/>
        <w:numPr>
          <w:ilvl w:val="0"/>
          <w:numId w:val="11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664D57">
        <w:rPr>
          <w:rFonts w:ascii="Verdana" w:hAnsi="Verdana"/>
          <w:sz w:val="20"/>
          <w:szCs w:val="20"/>
          <w:lang w:val="en-US"/>
        </w:rPr>
        <w:t>Additional Information</w:t>
      </w:r>
    </w:p>
    <w:p w:rsidR="00817E33" w:rsidRPr="007E3747" w:rsidRDefault="00817E33" w:rsidP="00817E33">
      <w:pPr>
        <w:pStyle w:val="ListParagraph"/>
        <w:numPr>
          <w:ilvl w:val="0"/>
          <w:numId w:val="11"/>
        </w:numPr>
        <w:spacing w:after="0" w:line="312" w:lineRule="auto"/>
        <w:ind w:left="851" w:hanging="425"/>
        <w:jc w:val="both"/>
        <w:rPr>
          <w:rFonts w:ascii="Verdana" w:hAnsi="Verdana"/>
          <w:b/>
          <w:sz w:val="20"/>
          <w:szCs w:val="20"/>
          <w:lang w:val="en-US"/>
        </w:rPr>
      </w:pPr>
      <w:r w:rsidRPr="007E3747">
        <w:rPr>
          <w:rFonts w:ascii="Verdana" w:hAnsi="Verdana"/>
          <w:b/>
          <w:sz w:val="20"/>
          <w:szCs w:val="20"/>
          <w:lang w:val="en-US"/>
        </w:rPr>
        <w:t>Search</w:t>
      </w:r>
    </w:p>
    <w:p w:rsidR="00817E33" w:rsidRPr="00664D57" w:rsidRDefault="00817E33" w:rsidP="00817E33">
      <w:pPr>
        <w:pStyle w:val="ListParagraph"/>
        <w:numPr>
          <w:ilvl w:val="0"/>
          <w:numId w:val="11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664D57">
        <w:rPr>
          <w:rFonts w:ascii="Verdana" w:hAnsi="Verdana"/>
          <w:sz w:val="20"/>
          <w:szCs w:val="20"/>
          <w:lang w:val="en-US"/>
        </w:rPr>
        <w:t>Seizure</w:t>
      </w:r>
    </w:p>
    <w:p w:rsidR="00817E33" w:rsidRDefault="00817E33" w:rsidP="00817E33">
      <w:pPr>
        <w:pStyle w:val="ListParagraph"/>
        <w:numPr>
          <w:ilvl w:val="0"/>
          <w:numId w:val="11"/>
        </w:numPr>
        <w:spacing w:after="0" w:line="312" w:lineRule="auto"/>
        <w:ind w:left="851" w:hanging="425"/>
        <w:jc w:val="both"/>
        <w:rPr>
          <w:rFonts w:ascii="Verdana" w:hAnsi="Verdana"/>
          <w:sz w:val="20"/>
          <w:szCs w:val="20"/>
          <w:lang w:val="en-US"/>
        </w:rPr>
      </w:pPr>
      <w:r w:rsidRPr="00664D57">
        <w:rPr>
          <w:rFonts w:ascii="Verdana" w:hAnsi="Verdana"/>
          <w:sz w:val="20"/>
          <w:szCs w:val="20"/>
          <w:lang w:val="en-US"/>
        </w:rPr>
        <w:t>All of the above</w:t>
      </w:r>
    </w:p>
    <w:p w:rsidR="00597417" w:rsidRPr="00664D57" w:rsidRDefault="00597417" w:rsidP="00597417">
      <w:pPr>
        <w:pStyle w:val="ListParagraph"/>
        <w:spacing w:after="0" w:line="312" w:lineRule="auto"/>
        <w:ind w:left="851"/>
        <w:jc w:val="both"/>
        <w:rPr>
          <w:rFonts w:ascii="Verdana" w:hAnsi="Verdana"/>
          <w:sz w:val="20"/>
          <w:szCs w:val="20"/>
          <w:lang w:val="en-US"/>
        </w:rPr>
      </w:pPr>
    </w:p>
    <w:p w:rsidR="00817E33" w:rsidRDefault="00597417" w:rsidP="00817E33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What is the remedial measures to be taken by the assesse if aggrieved against the order passed U/s </w:t>
      </w:r>
      <w:proofErr w:type="gramStart"/>
      <w:r>
        <w:rPr>
          <w:rFonts w:ascii="Verdana" w:hAnsi="Verdana"/>
          <w:sz w:val="20"/>
          <w:szCs w:val="20"/>
          <w:lang w:val="en-US"/>
        </w:rPr>
        <w:t>148A(</w:t>
      </w:r>
      <w:proofErr w:type="gramEnd"/>
      <w:r>
        <w:rPr>
          <w:rFonts w:ascii="Verdana" w:hAnsi="Verdana"/>
          <w:sz w:val="20"/>
          <w:szCs w:val="20"/>
          <w:lang w:val="en-US"/>
        </w:rPr>
        <w:t>d) of the Act.</w:t>
      </w:r>
    </w:p>
    <w:p w:rsidR="00597417" w:rsidRDefault="00597417" w:rsidP="0059741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File appeal before the CIT(A)</w:t>
      </w:r>
    </w:p>
    <w:p w:rsidR="00597417" w:rsidRDefault="00597417" w:rsidP="0059741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File Appeal before the Income tax Appellate Tribunal</w:t>
      </w:r>
    </w:p>
    <w:p w:rsidR="00597417" w:rsidRDefault="00597417" w:rsidP="0059741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File Appeal before the jurisdictional High court</w:t>
      </w:r>
    </w:p>
    <w:p w:rsidR="00597417" w:rsidRPr="00597417" w:rsidRDefault="00597417" w:rsidP="00597417">
      <w:pPr>
        <w:pStyle w:val="ListParagraph"/>
        <w:numPr>
          <w:ilvl w:val="1"/>
          <w:numId w:val="1"/>
        </w:numPr>
        <w:spacing w:after="0" w:line="312" w:lineRule="auto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r w:rsidRPr="00597417">
        <w:rPr>
          <w:rFonts w:ascii="Verdana" w:hAnsi="Verdana"/>
          <w:b/>
          <w:sz w:val="20"/>
          <w:szCs w:val="20"/>
          <w:lang w:val="en-US"/>
        </w:rPr>
        <w:t>File Writ petition before the High court under Article 226</w:t>
      </w:r>
    </w:p>
    <w:bookmarkEnd w:id="0"/>
    <w:p w:rsidR="008C37A2" w:rsidRPr="00081CE4" w:rsidRDefault="008C37A2" w:rsidP="008C37A2">
      <w:pPr>
        <w:pStyle w:val="ListParagraph"/>
        <w:spacing w:after="0" w:line="312" w:lineRule="auto"/>
        <w:ind w:left="567"/>
        <w:jc w:val="both"/>
        <w:rPr>
          <w:rFonts w:ascii="Verdana" w:hAnsi="Verdana"/>
          <w:sz w:val="20"/>
          <w:szCs w:val="20"/>
          <w:lang w:val="en-US"/>
        </w:rPr>
      </w:pPr>
    </w:p>
    <w:sectPr w:rsidR="008C37A2" w:rsidRPr="00081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FDA"/>
    <w:multiLevelType w:val="hybridMultilevel"/>
    <w:tmpl w:val="1B76E14C"/>
    <w:lvl w:ilvl="0" w:tplc="A790F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514E68E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DC4"/>
    <w:multiLevelType w:val="hybridMultilevel"/>
    <w:tmpl w:val="23D4C8A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7EE"/>
    <w:multiLevelType w:val="hybridMultilevel"/>
    <w:tmpl w:val="C0F0346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6BDE"/>
    <w:multiLevelType w:val="hybridMultilevel"/>
    <w:tmpl w:val="C3ECB4D4"/>
    <w:lvl w:ilvl="0" w:tplc="40090015">
      <w:start w:val="1"/>
      <w:numFmt w:val="upperLetter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0578ED"/>
    <w:multiLevelType w:val="hybridMultilevel"/>
    <w:tmpl w:val="D25EE526"/>
    <w:lvl w:ilvl="0" w:tplc="67BCFDC6">
      <w:start w:val="2"/>
      <w:numFmt w:val="upperLetter"/>
      <w:lvlText w:val="(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093C2E"/>
    <w:multiLevelType w:val="hybridMultilevel"/>
    <w:tmpl w:val="F9CCCAD0"/>
    <w:lvl w:ilvl="0" w:tplc="4009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3A22BCE"/>
    <w:multiLevelType w:val="hybridMultilevel"/>
    <w:tmpl w:val="5D4ECF7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624BB"/>
    <w:multiLevelType w:val="hybridMultilevel"/>
    <w:tmpl w:val="92C0764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87902"/>
    <w:multiLevelType w:val="hybridMultilevel"/>
    <w:tmpl w:val="234A44C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565B1"/>
    <w:multiLevelType w:val="hybridMultilevel"/>
    <w:tmpl w:val="0C80FEF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D0800"/>
    <w:multiLevelType w:val="hybridMultilevel"/>
    <w:tmpl w:val="2EEEDD7A"/>
    <w:lvl w:ilvl="0" w:tplc="40090015">
      <w:start w:val="1"/>
      <w:numFmt w:val="upperLetter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A0638B1"/>
    <w:multiLevelType w:val="hybridMultilevel"/>
    <w:tmpl w:val="20D4EFC0"/>
    <w:lvl w:ilvl="0" w:tplc="40090015">
      <w:start w:val="1"/>
      <w:numFmt w:val="upperLetter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29"/>
    <w:rsid w:val="00081CE4"/>
    <w:rsid w:val="00182E9E"/>
    <w:rsid w:val="00495F1B"/>
    <w:rsid w:val="004C201C"/>
    <w:rsid w:val="004D77E7"/>
    <w:rsid w:val="00597417"/>
    <w:rsid w:val="00664D57"/>
    <w:rsid w:val="006A2029"/>
    <w:rsid w:val="00724EB1"/>
    <w:rsid w:val="00742370"/>
    <w:rsid w:val="007E318D"/>
    <w:rsid w:val="007E3747"/>
    <w:rsid w:val="00817E33"/>
    <w:rsid w:val="008C37A2"/>
    <w:rsid w:val="00A70FC7"/>
    <w:rsid w:val="00AE383A"/>
    <w:rsid w:val="00BD5A9E"/>
    <w:rsid w:val="00D3095B"/>
    <w:rsid w:val="00E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D65F-B749-431F-A4FC-C5CC44C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Roy</dc:creator>
  <cp:keywords/>
  <dc:description/>
  <cp:lastModifiedBy>T K MAJUMDAR</cp:lastModifiedBy>
  <cp:revision>2</cp:revision>
  <dcterms:created xsi:type="dcterms:W3CDTF">2025-06-25T10:15:00Z</dcterms:created>
  <dcterms:modified xsi:type="dcterms:W3CDTF">2025-06-25T10:15:00Z</dcterms:modified>
</cp:coreProperties>
</file>