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7BF5" w14:textId="77777777" w:rsidR="001B3652" w:rsidRDefault="001B3652">
      <w:pPr>
        <w:rPr>
          <w:lang w:val="en-US"/>
        </w:rPr>
      </w:pPr>
    </w:p>
    <w:p w14:paraId="133FB698" w14:textId="14F46289" w:rsidR="004F7A97" w:rsidRPr="004F7A97" w:rsidRDefault="004F7A97" w:rsidP="00C26D42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4F7A97">
        <w:rPr>
          <w:rFonts w:ascii="Arial" w:hAnsi="Arial" w:cs="Arial"/>
          <w:b/>
          <w:bCs/>
          <w:sz w:val="32"/>
          <w:szCs w:val="32"/>
          <w:lang w:val="en-US"/>
        </w:rPr>
        <w:t>Revision under section 263 and 264</w:t>
      </w:r>
    </w:p>
    <w:p w14:paraId="7514A2DD" w14:textId="44969CC3" w:rsidR="00A347ED" w:rsidRDefault="004F7A97" w:rsidP="00C26D42">
      <w:pPr>
        <w:spacing w:after="0" w:line="276" w:lineRule="auto"/>
        <w:jc w:val="center"/>
        <w:rPr>
          <w:rFonts w:ascii="Arial" w:hAnsi="Arial" w:cs="Arial"/>
          <w:b/>
          <w:bCs/>
          <w:lang w:val="en-US"/>
        </w:rPr>
      </w:pPr>
      <w:r w:rsidRPr="004F7A97">
        <w:rPr>
          <w:rFonts w:ascii="Arial" w:hAnsi="Arial" w:cs="Arial"/>
          <w:b/>
          <w:bCs/>
          <w:lang w:val="en-US"/>
        </w:rPr>
        <w:t>Multiple Choice Type Questions</w:t>
      </w:r>
      <w:r>
        <w:rPr>
          <w:rFonts w:ascii="Arial" w:hAnsi="Arial" w:cs="Arial"/>
          <w:b/>
          <w:bCs/>
          <w:lang w:val="en-US"/>
        </w:rPr>
        <w:t xml:space="preserve"> (MCQ)</w:t>
      </w:r>
    </w:p>
    <w:p w14:paraId="593B3422" w14:textId="345C8536" w:rsidR="00C26D42" w:rsidRPr="00CF0B64" w:rsidRDefault="00C26D42" w:rsidP="00CF0B64">
      <w:pPr>
        <w:spacing w:after="0" w:line="276" w:lineRule="auto"/>
        <w:jc w:val="center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[ In</w:t>
      </w:r>
      <w:proofErr w:type="gramEnd"/>
      <w:r>
        <w:rPr>
          <w:rFonts w:ascii="Arial" w:hAnsi="Arial" w:cs="Arial"/>
          <w:b/>
          <w:bCs/>
          <w:lang w:val="en-US"/>
        </w:rPr>
        <w:t xml:space="preserve"> all the questions </w:t>
      </w:r>
      <w:r w:rsidR="00CF0B64">
        <w:rPr>
          <w:rFonts w:ascii="Arial" w:hAnsi="Arial" w:cs="Arial"/>
          <w:b/>
          <w:bCs/>
          <w:lang w:val="en-US"/>
        </w:rPr>
        <w:t xml:space="preserve">below, </w:t>
      </w:r>
      <w:r>
        <w:rPr>
          <w:rFonts w:ascii="Arial" w:hAnsi="Arial" w:cs="Arial"/>
          <w:b/>
          <w:bCs/>
          <w:lang w:val="en-US"/>
        </w:rPr>
        <w:t>Act’ means the Income-tax Act,1961]</w:t>
      </w:r>
    </w:p>
    <w:p w14:paraId="7CA959B4" w14:textId="77777777" w:rsidR="00CF0B64" w:rsidRDefault="00CF0B6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69D904" w14:textId="73A0D8C8" w:rsidR="00A347ED" w:rsidRPr="00CF0B64" w:rsidRDefault="00B31A5C">
      <w:p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1.</w:t>
      </w:r>
      <w:r w:rsidR="00A347ED" w:rsidRPr="00CF0B64">
        <w:rPr>
          <w:rFonts w:ascii="Arial" w:hAnsi="Arial" w:cs="Arial"/>
          <w:sz w:val="24"/>
          <w:szCs w:val="24"/>
          <w:lang w:val="en-US"/>
        </w:rPr>
        <w:t xml:space="preserve"> </w:t>
      </w:r>
      <w:r w:rsidR="004108D4" w:rsidRPr="00CF0B64">
        <w:rPr>
          <w:rFonts w:ascii="Arial" w:hAnsi="Arial" w:cs="Arial"/>
          <w:sz w:val="24"/>
          <w:szCs w:val="24"/>
          <w:lang w:val="en-US"/>
        </w:rPr>
        <w:t>Order passed by w</w:t>
      </w:r>
      <w:r w:rsidRPr="00CF0B64">
        <w:rPr>
          <w:rFonts w:ascii="Arial" w:hAnsi="Arial" w:cs="Arial"/>
          <w:sz w:val="24"/>
          <w:szCs w:val="24"/>
          <w:lang w:val="en-US"/>
        </w:rPr>
        <w:t>hich of</w:t>
      </w:r>
      <w:r w:rsidR="00A347ED" w:rsidRPr="00CF0B64">
        <w:rPr>
          <w:rFonts w:ascii="Arial" w:hAnsi="Arial" w:cs="Arial"/>
          <w:sz w:val="24"/>
          <w:szCs w:val="24"/>
          <w:lang w:val="en-US"/>
        </w:rPr>
        <w:t xml:space="preserve"> the following authorities </w:t>
      </w:r>
      <w:r w:rsidR="004108D4" w:rsidRPr="00CF0B64">
        <w:rPr>
          <w:rFonts w:ascii="Arial" w:hAnsi="Arial" w:cs="Arial"/>
          <w:sz w:val="24"/>
          <w:szCs w:val="24"/>
          <w:lang w:val="en-US"/>
        </w:rPr>
        <w:t xml:space="preserve">cannot be revised </w:t>
      </w:r>
      <w:r w:rsidR="00A347ED" w:rsidRPr="00CF0B64">
        <w:rPr>
          <w:rFonts w:ascii="Arial" w:hAnsi="Arial" w:cs="Arial"/>
          <w:sz w:val="24"/>
          <w:szCs w:val="24"/>
          <w:lang w:val="en-US"/>
        </w:rPr>
        <w:t>section 26</w:t>
      </w:r>
      <w:r w:rsidR="00C26D42" w:rsidRPr="00CF0B64">
        <w:rPr>
          <w:rFonts w:ascii="Arial" w:hAnsi="Arial" w:cs="Arial"/>
          <w:sz w:val="24"/>
          <w:szCs w:val="24"/>
          <w:lang w:val="en-US"/>
        </w:rPr>
        <w:t>3</w:t>
      </w:r>
      <w:r w:rsidR="00A347ED" w:rsidRPr="00CF0B64">
        <w:rPr>
          <w:rFonts w:ascii="Arial" w:hAnsi="Arial" w:cs="Arial"/>
          <w:sz w:val="24"/>
          <w:szCs w:val="24"/>
          <w:lang w:val="en-US"/>
        </w:rPr>
        <w:t xml:space="preserve"> of the 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Income -tax Act, </w:t>
      </w:r>
      <w:r w:rsidR="006929FA" w:rsidRPr="00CF0B64">
        <w:rPr>
          <w:rFonts w:ascii="Arial" w:hAnsi="Arial" w:cs="Arial"/>
          <w:sz w:val="24"/>
          <w:szCs w:val="24"/>
          <w:lang w:val="en-US"/>
        </w:rPr>
        <w:t>1961?</w:t>
      </w:r>
    </w:p>
    <w:p w14:paraId="35FE9CCB" w14:textId="233ADAC9" w:rsidR="00B31A5C" w:rsidRPr="00CF0B64" w:rsidRDefault="00C26D42" w:rsidP="00B31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Assistant Commissioner of Income -tax</w:t>
      </w:r>
    </w:p>
    <w:p w14:paraId="57C87969" w14:textId="75CCA47E" w:rsidR="00B31A5C" w:rsidRPr="00CF0B64" w:rsidRDefault="00C26D42" w:rsidP="00B31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Additional Commissioner of Income</w:t>
      </w:r>
      <w:r w:rsidR="00CA7C64" w:rsidRPr="00CF0B64">
        <w:rPr>
          <w:rFonts w:ascii="Arial" w:hAnsi="Arial" w:cs="Arial"/>
          <w:sz w:val="24"/>
          <w:szCs w:val="24"/>
          <w:lang w:val="en-US"/>
        </w:rPr>
        <w:t>-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F0B64">
        <w:rPr>
          <w:rFonts w:ascii="Arial" w:hAnsi="Arial" w:cs="Arial"/>
          <w:sz w:val="24"/>
          <w:szCs w:val="24"/>
          <w:lang w:val="en-US"/>
        </w:rPr>
        <w:t>tax</w:t>
      </w:r>
      <w:proofErr w:type="gramEnd"/>
    </w:p>
    <w:p w14:paraId="0D7D4D29" w14:textId="46CF6D95" w:rsidR="00B31A5C" w:rsidRPr="00CF0B64" w:rsidRDefault="00B31A5C" w:rsidP="00C26D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Commissioner (Appeals)</w:t>
      </w:r>
      <w:r w:rsidR="00C26D42" w:rsidRPr="00CF0B64">
        <w:rPr>
          <w:rFonts w:ascii="Arial" w:hAnsi="Arial" w:cs="Arial"/>
          <w:sz w:val="24"/>
          <w:szCs w:val="24"/>
          <w:lang w:val="en-US"/>
        </w:rPr>
        <w:t xml:space="preserve"> of Income</w:t>
      </w:r>
      <w:r w:rsidR="00CA7C64" w:rsidRPr="00CF0B64">
        <w:rPr>
          <w:rFonts w:ascii="Arial" w:hAnsi="Arial" w:cs="Arial"/>
          <w:sz w:val="24"/>
          <w:szCs w:val="24"/>
          <w:lang w:val="en-US"/>
        </w:rPr>
        <w:t>-</w:t>
      </w:r>
      <w:r w:rsidR="00C26D42" w:rsidRPr="00CF0B64">
        <w:rPr>
          <w:rFonts w:ascii="Arial" w:hAnsi="Arial" w:cs="Arial"/>
          <w:sz w:val="24"/>
          <w:szCs w:val="24"/>
          <w:lang w:val="en-US"/>
        </w:rPr>
        <w:t xml:space="preserve"> tax</w:t>
      </w:r>
    </w:p>
    <w:p w14:paraId="68E07C66" w14:textId="6767F243" w:rsidR="00B31A5C" w:rsidRPr="00CF0B64" w:rsidRDefault="00C26D42" w:rsidP="00B31A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Deputy </w:t>
      </w:r>
      <w:r w:rsidR="00B31A5C" w:rsidRPr="00CF0B64">
        <w:rPr>
          <w:rFonts w:ascii="Arial" w:hAnsi="Arial" w:cs="Arial"/>
          <w:sz w:val="24"/>
          <w:szCs w:val="24"/>
          <w:lang w:val="en-US"/>
        </w:rPr>
        <w:t>Commissioner of Income-tax (Transfer Pricing).</w:t>
      </w:r>
    </w:p>
    <w:p w14:paraId="18A7ACE7" w14:textId="77777777" w:rsidR="00CF0B64" w:rsidRDefault="00CF0B64" w:rsidP="00B31A5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75499EB" w14:textId="14519401" w:rsidR="00B31A5C" w:rsidRPr="00CF0B64" w:rsidRDefault="00B31A5C" w:rsidP="00B31A5C">
      <w:p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030F51" w:rsidRPr="00CF0B64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As per </w:t>
      </w:r>
      <w:r w:rsidR="00C26D42" w:rsidRPr="00CF0B64">
        <w:rPr>
          <w:rFonts w:ascii="Arial" w:hAnsi="Arial" w:cs="Arial"/>
          <w:sz w:val="24"/>
          <w:szCs w:val="24"/>
          <w:lang w:val="en-US"/>
        </w:rPr>
        <w:t>the language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of section 263, an order can be subject to revision under the said section if the order is </w:t>
      </w:r>
    </w:p>
    <w:p w14:paraId="725FD2E8" w14:textId="754923D5" w:rsidR="00B31A5C" w:rsidRPr="00CF0B64" w:rsidRDefault="00B31A5C" w:rsidP="00B31A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Erroneous in so far as it is prejudicial to the interest of revenue</w:t>
      </w:r>
    </w:p>
    <w:p w14:paraId="56804C8C" w14:textId="6E640A37" w:rsidR="00B31A5C" w:rsidRPr="00CF0B64" w:rsidRDefault="00B31A5C" w:rsidP="00B31A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Erroneous a</w:t>
      </w:r>
      <w:r w:rsidR="00CA7C64" w:rsidRPr="00CF0B64">
        <w:rPr>
          <w:rFonts w:ascii="Arial" w:hAnsi="Arial" w:cs="Arial"/>
          <w:sz w:val="24"/>
          <w:szCs w:val="24"/>
          <w:lang w:val="en-US"/>
        </w:rPr>
        <w:t>s also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prejudicial to the interest of revenue</w:t>
      </w:r>
    </w:p>
    <w:p w14:paraId="60FB8438" w14:textId="57BA4018" w:rsidR="00B31A5C" w:rsidRPr="00CF0B64" w:rsidRDefault="00B31A5C" w:rsidP="00B31A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Erroneous or prejudicial to the interest of revenue</w:t>
      </w:r>
    </w:p>
    <w:p w14:paraId="02BD928C" w14:textId="2E4E827F" w:rsidR="00B31A5C" w:rsidRPr="00CF0B64" w:rsidRDefault="00030F51" w:rsidP="00B31A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All</w:t>
      </w:r>
      <w:r w:rsidR="00B31A5C" w:rsidRPr="00CF0B64">
        <w:rPr>
          <w:rFonts w:ascii="Arial" w:hAnsi="Arial" w:cs="Arial"/>
          <w:sz w:val="24"/>
          <w:szCs w:val="24"/>
          <w:lang w:val="en-US"/>
        </w:rPr>
        <w:t xml:space="preserve"> the above.</w:t>
      </w:r>
    </w:p>
    <w:p w14:paraId="718E58AF" w14:textId="77777777" w:rsidR="00030F51" w:rsidRPr="00CF0B64" w:rsidRDefault="00030F51" w:rsidP="00B31A5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1D9563" w14:textId="5336F9B3" w:rsidR="00B31A5C" w:rsidRPr="00CF0B64" w:rsidRDefault="00B31A5C" w:rsidP="00030F5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 xml:space="preserve"> 3.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</w:t>
      </w:r>
      <w:r w:rsidR="006929FA" w:rsidRPr="00CF0B64">
        <w:rPr>
          <w:rFonts w:ascii="Arial" w:hAnsi="Arial" w:cs="Arial"/>
          <w:sz w:val="24"/>
          <w:szCs w:val="24"/>
          <w:lang w:val="en-US"/>
        </w:rPr>
        <w:t xml:space="preserve">The competent </w:t>
      </w:r>
      <w:r w:rsidR="00C26D42" w:rsidRPr="00CF0B64">
        <w:rPr>
          <w:rFonts w:ascii="Arial" w:hAnsi="Arial" w:cs="Arial"/>
          <w:sz w:val="24"/>
          <w:szCs w:val="24"/>
          <w:lang w:val="en-US"/>
        </w:rPr>
        <w:t>authority has</w:t>
      </w:r>
      <w:r w:rsidR="006929FA" w:rsidRPr="00CF0B64">
        <w:rPr>
          <w:rFonts w:ascii="Arial" w:hAnsi="Arial" w:cs="Arial"/>
          <w:sz w:val="24"/>
          <w:szCs w:val="24"/>
          <w:lang w:val="en-US"/>
        </w:rPr>
        <w:t xml:space="preserve"> rejected the petition of an assessee</w:t>
      </w:r>
      <w:r w:rsidR="00030F51" w:rsidRPr="00CF0B64">
        <w:rPr>
          <w:rFonts w:ascii="Arial" w:hAnsi="Arial" w:cs="Arial"/>
          <w:sz w:val="24"/>
          <w:szCs w:val="24"/>
          <w:lang w:val="en-US"/>
        </w:rPr>
        <w:t xml:space="preserve"> filed under section 264 of the Act</w:t>
      </w:r>
      <w:r w:rsidR="006929FA" w:rsidRPr="00CF0B64">
        <w:rPr>
          <w:rFonts w:ascii="Arial" w:hAnsi="Arial" w:cs="Arial"/>
          <w:sz w:val="24"/>
          <w:szCs w:val="24"/>
          <w:lang w:val="en-US"/>
        </w:rPr>
        <w:t>. What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remedy is available to him </w:t>
      </w:r>
      <w:r w:rsidR="006929FA" w:rsidRPr="00CF0B64">
        <w:rPr>
          <w:rFonts w:ascii="Arial" w:hAnsi="Arial" w:cs="Arial"/>
          <w:sz w:val="24"/>
          <w:szCs w:val="24"/>
          <w:lang w:val="en-US"/>
        </w:rPr>
        <w:t>now?</w:t>
      </w:r>
    </w:p>
    <w:p w14:paraId="36CDEF46" w14:textId="2E1639B3" w:rsidR="00B31A5C" w:rsidRPr="00CF0B64" w:rsidRDefault="00B31A5C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(a) He can file </w:t>
      </w:r>
      <w:r w:rsidR="006929FA" w:rsidRPr="00CF0B64">
        <w:rPr>
          <w:rFonts w:ascii="Arial" w:hAnsi="Arial" w:cs="Arial"/>
          <w:sz w:val="24"/>
          <w:szCs w:val="24"/>
          <w:lang w:val="en-US"/>
        </w:rPr>
        <w:t>an appeal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against the order before the jurisdictional Income -tax Appellate Tribunal (ITAT)</w:t>
      </w:r>
    </w:p>
    <w:p w14:paraId="7B3A411C" w14:textId="486465E1" w:rsidR="006929FA" w:rsidRPr="00CF0B64" w:rsidRDefault="006929FA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(b) He can file a writ petition before the </w:t>
      </w:r>
      <w:proofErr w:type="gramStart"/>
      <w:r w:rsidRPr="00CF0B64">
        <w:rPr>
          <w:rFonts w:ascii="Arial" w:hAnsi="Arial" w:cs="Arial"/>
          <w:sz w:val="24"/>
          <w:szCs w:val="24"/>
          <w:lang w:val="en-US"/>
        </w:rPr>
        <w:t>jurisdictional</w:t>
      </w:r>
      <w:proofErr w:type="gramEnd"/>
      <w:r w:rsidRPr="00CF0B64">
        <w:rPr>
          <w:rFonts w:ascii="Arial" w:hAnsi="Arial" w:cs="Arial"/>
          <w:sz w:val="24"/>
          <w:szCs w:val="24"/>
          <w:lang w:val="en-US"/>
        </w:rPr>
        <w:t xml:space="preserve"> High Court.</w:t>
      </w:r>
    </w:p>
    <w:p w14:paraId="09BFD41C" w14:textId="7941008C" w:rsidR="006929FA" w:rsidRPr="00CF0B64" w:rsidRDefault="006929FA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(c) He can file an appeal against the order before the jurisdictional High Court.</w:t>
      </w:r>
    </w:p>
    <w:p w14:paraId="3303CFF1" w14:textId="38B730E7" w:rsidR="006929FA" w:rsidRPr="00CF0B64" w:rsidRDefault="006929FA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(d) All the above remedies are available to him.</w:t>
      </w:r>
    </w:p>
    <w:p w14:paraId="7D81E2A0" w14:textId="73EA0033" w:rsidR="006929FA" w:rsidRPr="00CF0B64" w:rsidRDefault="006929FA" w:rsidP="00030F51">
      <w:pPr>
        <w:ind w:left="150"/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. In which sections of the Income tax Act, </w:t>
      </w:r>
      <w:r w:rsidR="00030F51" w:rsidRPr="00CF0B64">
        <w:rPr>
          <w:rFonts w:ascii="Arial" w:hAnsi="Arial" w:cs="Arial"/>
          <w:sz w:val="24"/>
          <w:szCs w:val="24"/>
          <w:lang w:val="en-US"/>
        </w:rPr>
        <w:t xml:space="preserve">1961, </w:t>
      </w:r>
      <w:r w:rsidRPr="00CF0B64">
        <w:rPr>
          <w:rFonts w:ascii="Arial" w:hAnsi="Arial" w:cs="Arial"/>
          <w:sz w:val="24"/>
          <w:szCs w:val="24"/>
          <w:lang w:val="en-US"/>
        </w:rPr>
        <w:t>has the word ‘record’ has been defined for the specific purpose of the section?</w:t>
      </w:r>
    </w:p>
    <w:p w14:paraId="003425C9" w14:textId="234E0EE1" w:rsidR="006929FA" w:rsidRPr="00CF0B64" w:rsidRDefault="006929FA" w:rsidP="00030F51">
      <w:pPr>
        <w:spacing w:after="0" w:line="276" w:lineRule="auto"/>
        <w:ind w:left="147"/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(a) Section 119</w:t>
      </w:r>
      <w:r w:rsidR="00030F51" w:rsidRPr="00CF0B64">
        <w:rPr>
          <w:rFonts w:ascii="Arial" w:hAnsi="Arial" w:cs="Arial"/>
          <w:sz w:val="24"/>
          <w:szCs w:val="24"/>
          <w:lang w:val="en-US"/>
        </w:rPr>
        <w:t xml:space="preserve"> of the Act</w:t>
      </w:r>
      <w:r w:rsidRPr="00CF0B64">
        <w:rPr>
          <w:rFonts w:ascii="Arial" w:hAnsi="Arial" w:cs="Arial"/>
          <w:sz w:val="24"/>
          <w:szCs w:val="24"/>
          <w:lang w:val="en-US"/>
        </w:rPr>
        <w:t>.</w:t>
      </w:r>
    </w:p>
    <w:p w14:paraId="75F03E1C" w14:textId="23EB63FF" w:rsidR="006929FA" w:rsidRPr="00CF0B64" w:rsidRDefault="006929FA" w:rsidP="00030F51">
      <w:pPr>
        <w:spacing w:after="0" w:line="276" w:lineRule="auto"/>
        <w:ind w:left="147"/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(b) Section 154 </w:t>
      </w:r>
      <w:r w:rsidR="00030F51" w:rsidRPr="00CF0B64">
        <w:rPr>
          <w:rFonts w:ascii="Arial" w:hAnsi="Arial" w:cs="Arial"/>
          <w:sz w:val="24"/>
          <w:szCs w:val="24"/>
          <w:lang w:val="en-US"/>
        </w:rPr>
        <w:t>of the Act</w:t>
      </w:r>
    </w:p>
    <w:p w14:paraId="483FC5E8" w14:textId="6A0E5C0B" w:rsidR="006929FA" w:rsidRPr="00CF0B64" w:rsidRDefault="006929FA" w:rsidP="00030F51">
      <w:pPr>
        <w:spacing w:after="0" w:line="276" w:lineRule="auto"/>
        <w:ind w:left="147"/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(c) Section 263 of </w:t>
      </w:r>
      <w:r w:rsidR="00030F51" w:rsidRPr="00CF0B64">
        <w:rPr>
          <w:rFonts w:ascii="Arial" w:hAnsi="Arial" w:cs="Arial"/>
          <w:sz w:val="24"/>
          <w:szCs w:val="24"/>
          <w:lang w:val="en-US"/>
        </w:rPr>
        <w:t>the Act</w:t>
      </w:r>
    </w:p>
    <w:p w14:paraId="163D2C5D" w14:textId="13CFC1F2" w:rsidR="006929FA" w:rsidRPr="00CF0B64" w:rsidRDefault="006929FA" w:rsidP="00030F51">
      <w:pPr>
        <w:spacing w:after="0" w:line="276" w:lineRule="auto"/>
        <w:ind w:left="147"/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(d) None of the above.</w:t>
      </w:r>
    </w:p>
    <w:p w14:paraId="73B3B187" w14:textId="52FEB480" w:rsidR="006929FA" w:rsidRPr="00CF0B64" w:rsidRDefault="006929FA" w:rsidP="006929FA">
      <w:pPr>
        <w:ind w:left="150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5.</w:t>
      </w:r>
      <w:r w:rsidR="006D5576" w:rsidRPr="00CF0B64">
        <w:rPr>
          <w:rFonts w:ascii="Arial" w:hAnsi="Arial" w:cs="Arial"/>
          <w:sz w:val="24"/>
          <w:szCs w:val="24"/>
          <w:lang w:val="en-US"/>
        </w:rPr>
        <w:t xml:space="preserve"> Which of the following orders provide examples of orders which may be revised under section 263?</w:t>
      </w:r>
    </w:p>
    <w:p w14:paraId="4077A194" w14:textId="3212465A" w:rsidR="006D5576" w:rsidRPr="00CF0B64" w:rsidRDefault="006D5576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(a) An assessment order under section 144 of the Income-tax Act</w:t>
      </w:r>
    </w:p>
    <w:p w14:paraId="0D9D5F75" w14:textId="518D96EB" w:rsidR="006D5576" w:rsidRPr="00CF0B64" w:rsidRDefault="006D5576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(b) An order of penalty under section 271(1)(c) of the Income-tax Act</w:t>
      </w:r>
    </w:p>
    <w:p w14:paraId="38C4F67C" w14:textId="132B69BE" w:rsidR="006D5576" w:rsidRPr="00CF0B64" w:rsidRDefault="006D5576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(c) Both (a) and (b)</w:t>
      </w:r>
    </w:p>
    <w:p w14:paraId="0884B2AA" w14:textId="320A55E2" w:rsidR="006D5576" w:rsidRPr="00CF0B64" w:rsidRDefault="006D5576" w:rsidP="00030F51">
      <w:pPr>
        <w:spacing w:after="0" w:line="276" w:lineRule="auto"/>
        <w:ind w:left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(d) None of the above.</w:t>
      </w:r>
    </w:p>
    <w:p w14:paraId="4383B7E2" w14:textId="6963C785" w:rsidR="006D5576" w:rsidRPr="00CF0B64" w:rsidRDefault="006D5576" w:rsidP="006929FA">
      <w:pPr>
        <w:ind w:left="150"/>
        <w:rPr>
          <w:rFonts w:ascii="Arial" w:hAnsi="Arial" w:cs="Arial"/>
          <w:sz w:val="24"/>
          <w:szCs w:val="24"/>
          <w:lang w:val="en-US"/>
        </w:rPr>
      </w:pPr>
    </w:p>
    <w:p w14:paraId="5F0021A0" w14:textId="77777777" w:rsidR="006D5576" w:rsidRPr="00CF0B64" w:rsidRDefault="006D5576" w:rsidP="006929FA">
      <w:pPr>
        <w:ind w:left="150"/>
        <w:rPr>
          <w:rFonts w:ascii="Arial" w:hAnsi="Arial" w:cs="Arial"/>
          <w:sz w:val="24"/>
          <w:szCs w:val="24"/>
          <w:lang w:val="en-US"/>
        </w:rPr>
      </w:pPr>
    </w:p>
    <w:p w14:paraId="45AA7A13" w14:textId="77777777" w:rsidR="00030F51" w:rsidRDefault="00030F51" w:rsidP="004F7A97">
      <w:pPr>
        <w:ind w:firstLine="150"/>
        <w:jc w:val="both"/>
        <w:rPr>
          <w:lang w:val="en-US"/>
        </w:rPr>
      </w:pPr>
    </w:p>
    <w:p w14:paraId="56C4FAC2" w14:textId="77777777" w:rsidR="00030F51" w:rsidRDefault="00030F51" w:rsidP="004F7A97">
      <w:pPr>
        <w:ind w:firstLine="150"/>
        <w:jc w:val="both"/>
        <w:rPr>
          <w:lang w:val="en-US"/>
        </w:rPr>
      </w:pPr>
    </w:p>
    <w:p w14:paraId="3DFE0B00" w14:textId="430B5387" w:rsidR="00327025" w:rsidRPr="00CF0B64" w:rsidRDefault="006D5576" w:rsidP="004F7A97">
      <w:pPr>
        <w:ind w:firstLine="150"/>
        <w:jc w:val="both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="004F7A97" w:rsidRPr="00CF0B64">
        <w:rPr>
          <w:rFonts w:ascii="Arial" w:hAnsi="Arial" w:cs="Arial"/>
          <w:sz w:val="24"/>
          <w:szCs w:val="24"/>
          <w:lang w:val="en-US"/>
        </w:rPr>
        <w:t>. An</w:t>
      </w:r>
      <w:r w:rsidR="00327025" w:rsidRPr="00CF0B64">
        <w:rPr>
          <w:rFonts w:ascii="Arial" w:hAnsi="Arial" w:cs="Arial"/>
          <w:sz w:val="24"/>
          <w:szCs w:val="24"/>
          <w:lang w:val="en-US"/>
        </w:rPr>
        <w:t xml:space="preserve"> order passed under 143(3) was passed wherein deduction was allowed under section 35.</w:t>
      </w:r>
      <w:r w:rsidR="00030F51" w:rsidRPr="00CF0B64">
        <w:rPr>
          <w:rFonts w:ascii="Arial" w:hAnsi="Arial" w:cs="Arial"/>
          <w:sz w:val="24"/>
          <w:szCs w:val="24"/>
          <w:lang w:val="en-US"/>
        </w:rPr>
        <w:t>AB.</w:t>
      </w:r>
      <w:r w:rsidR="00327025" w:rsidRPr="00CF0B64">
        <w:rPr>
          <w:rFonts w:ascii="Arial" w:hAnsi="Arial" w:cs="Arial"/>
          <w:sz w:val="24"/>
          <w:szCs w:val="24"/>
          <w:lang w:val="en-US"/>
        </w:rPr>
        <w:t xml:space="preserve"> </w:t>
      </w:r>
      <w:r w:rsidR="00030F51" w:rsidRPr="00CF0B64">
        <w:rPr>
          <w:rFonts w:ascii="Arial" w:hAnsi="Arial" w:cs="Arial"/>
          <w:sz w:val="24"/>
          <w:szCs w:val="24"/>
          <w:lang w:val="en-US"/>
        </w:rPr>
        <w:t>Later</w:t>
      </w:r>
      <w:r w:rsidR="004F7A97" w:rsidRPr="00CF0B64">
        <w:rPr>
          <w:rFonts w:ascii="Arial" w:hAnsi="Arial" w:cs="Arial"/>
          <w:sz w:val="24"/>
          <w:szCs w:val="24"/>
          <w:lang w:val="en-US"/>
        </w:rPr>
        <w:t>,</w:t>
      </w:r>
      <w:r w:rsidR="00327025" w:rsidRPr="00CF0B64">
        <w:rPr>
          <w:rFonts w:ascii="Arial" w:hAnsi="Arial" w:cs="Arial"/>
          <w:sz w:val="24"/>
          <w:szCs w:val="24"/>
          <w:lang w:val="en-US"/>
        </w:rPr>
        <w:t xml:space="preserve"> the case </w:t>
      </w:r>
      <w:proofErr w:type="gramStart"/>
      <w:r w:rsidR="00C26D42" w:rsidRPr="00CF0B64">
        <w:rPr>
          <w:rFonts w:ascii="Arial" w:hAnsi="Arial" w:cs="Arial"/>
          <w:sz w:val="24"/>
          <w:szCs w:val="24"/>
          <w:lang w:val="en-US"/>
        </w:rPr>
        <w:t>was reopened</w:t>
      </w:r>
      <w:proofErr w:type="gramEnd"/>
      <w:r w:rsidR="00327025" w:rsidRPr="00CF0B64">
        <w:rPr>
          <w:rFonts w:ascii="Arial" w:hAnsi="Arial" w:cs="Arial"/>
          <w:sz w:val="24"/>
          <w:szCs w:val="24"/>
          <w:lang w:val="en-US"/>
        </w:rPr>
        <w:t xml:space="preserve"> on the issue of false claim of agricultural income. The reassessment order </w:t>
      </w:r>
      <w:r w:rsidR="00030F51" w:rsidRPr="00CF0B64">
        <w:rPr>
          <w:rFonts w:ascii="Arial" w:hAnsi="Arial" w:cs="Arial"/>
          <w:sz w:val="24"/>
          <w:szCs w:val="24"/>
          <w:lang w:val="en-US"/>
        </w:rPr>
        <w:t>was</w:t>
      </w:r>
      <w:r w:rsidR="00327025" w:rsidRPr="00CF0B64">
        <w:rPr>
          <w:rFonts w:ascii="Arial" w:hAnsi="Arial" w:cs="Arial"/>
          <w:sz w:val="24"/>
          <w:szCs w:val="24"/>
          <w:lang w:val="en-US"/>
        </w:rPr>
        <w:t xml:space="preserve"> passed within the stipulated time. Now the competent authority finds that the deduction under section 35 was </w:t>
      </w:r>
      <w:r w:rsidR="00030F51" w:rsidRPr="00CF0B64">
        <w:rPr>
          <w:rFonts w:ascii="Arial" w:hAnsi="Arial" w:cs="Arial"/>
          <w:sz w:val="24"/>
          <w:szCs w:val="24"/>
          <w:lang w:val="en-US"/>
        </w:rPr>
        <w:t>allowed</w:t>
      </w:r>
      <w:r w:rsidR="00327025" w:rsidRPr="00CF0B64">
        <w:rPr>
          <w:rFonts w:ascii="Arial" w:hAnsi="Arial" w:cs="Arial"/>
          <w:sz w:val="24"/>
          <w:szCs w:val="24"/>
          <w:lang w:val="en-US"/>
        </w:rPr>
        <w:t xml:space="preserve"> without conducting any inquiry. From which date will the time limit of passing order under section 263 be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reckoned?</w:t>
      </w:r>
    </w:p>
    <w:p w14:paraId="0316EBFB" w14:textId="4D8FC4D1" w:rsidR="00327025" w:rsidRPr="00CF0B64" w:rsidRDefault="00327025" w:rsidP="004108D4">
      <w:pPr>
        <w:spacing w:after="0" w:line="276" w:lineRule="auto"/>
        <w:ind w:firstLine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(a) Date of passing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reassessment order</w:t>
      </w:r>
    </w:p>
    <w:p w14:paraId="533DFE4A" w14:textId="59D5F482" w:rsidR="00395D40" w:rsidRPr="00CF0B64" w:rsidRDefault="004F7A97" w:rsidP="004108D4">
      <w:pPr>
        <w:spacing w:after="0" w:line="276" w:lineRule="auto"/>
        <w:ind w:firstLine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(b) </w:t>
      </w:r>
      <w:r w:rsidR="00395D40" w:rsidRPr="00CF0B64">
        <w:rPr>
          <w:rFonts w:ascii="Arial" w:hAnsi="Arial" w:cs="Arial"/>
          <w:sz w:val="24"/>
          <w:szCs w:val="24"/>
          <w:lang w:val="en-US"/>
        </w:rPr>
        <w:t xml:space="preserve">Date of passing </w:t>
      </w:r>
      <w:r w:rsidRPr="00CF0B64">
        <w:rPr>
          <w:rFonts w:ascii="Arial" w:hAnsi="Arial" w:cs="Arial"/>
          <w:sz w:val="24"/>
          <w:szCs w:val="24"/>
          <w:lang w:val="en-US"/>
        </w:rPr>
        <w:t>original assessment order</w:t>
      </w:r>
    </w:p>
    <w:p w14:paraId="61904FD7" w14:textId="74002009" w:rsidR="00395D40" w:rsidRPr="00CF0B64" w:rsidRDefault="00395D40" w:rsidP="004108D4">
      <w:pPr>
        <w:spacing w:after="0" w:line="276" w:lineRule="auto"/>
        <w:ind w:firstLine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(c)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Either of the above two dates,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F0B64">
        <w:rPr>
          <w:rFonts w:ascii="Arial" w:hAnsi="Arial" w:cs="Arial"/>
          <w:sz w:val="24"/>
          <w:szCs w:val="24"/>
          <w:lang w:val="en-US"/>
        </w:rPr>
        <w:t>as long as</w:t>
      </w:r>
      <w:proofErr w:type="gramEnd"/>
      <w:r w:rsidRPr="00CF0B64">
        <w:rPr>
          <w:rFonts w:ascii="Arial" w:hAnsi="Arial" w:cs="Arial"/>
          <w:sz w:val="24"/>
          <w:szCs w:val="24"/>
          <w:lang w:val="en-US"/>
        </w:rPr>
        <w:t xml:space="preserve"> the assessee does not challenge it </w:t>
      </w:r>
    </w:p>
    <w:p w14:paraId="578F3AFC" w14:textId="281FEB3A" w:rsidR="00395D40" w:rsidRPr="00CF0B64" w:rsidRDefault="004F7A97" w:rsidP="004108D4">
      <w:pPr>
        <w:spacing w:after="0" w:line="276" w:lineRule="auto"/>
        <w:ind w:firstLine="147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(d)Either of the above two dates </w:t>
      </w:r>
      <w:r w:rsidR="00395D40" w:rsidRPr="00CF0B64">
        <w:rPr>
          <w:rFonts w:ascii="Arial" w:hAnsi="Arial" w:cs="Arial"/>
          <w:sz w:val="24"/>
          <w:szCs w:val="24"/>
          <w:lang w:val="en-US"/>
        </w:rPr>
        <w:t>for reasons recorded in writing</w:t>
      </w:r>
      <w:r w:rsidR="004108D4" w:rsidRPr="00CF0B64">
        <w:rPr>
          <w:rFonts w:ascii="Arial" w:hAnsi="Arial" w:cs="Arial"/>
          <w:sz w:val="24"/>
          <w:szCs w:val="24"/>
          <w:lang w:val="en-US"/>
        </w:rPr>
        <w:t>.</w:t>
      </w:r>
    </w:p>
    <w:p w14:paraId="1D0B8953" w14:textId="06448239" w:rsidR="00395D40" w:rsidRPr="00CF0B64" w:rsidRDefault="00F417F4" w:rsidP="00F417F4">
      <w:p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 </w:t>
      </w:r>
      <w:r w:rsidR="00030F51" w:rsidRPr="00CF0B64">
        <w:rPr>
          <w:rFonts w:ascii="Arial" w:hAnsi="Arial" w:cs="Arial"/>
          <w:b/>
          <w:bCs/>
          <w:sz w:val="24"/>
          <w:szCs w:val="24"/>
          <w:lang w:val="en-US"/>
        </w:rPr>
        <w:t>7.</w:t>
      </w:r>
      <w:r w:rsidR="00030F51" w:rsidRPr="00CF0B64">
        <w:rPr>
          <w:rFonts w:ascii="Arial" w:hAnsi="Arial" w:cs="Arial"/>
          <w:sz w:val="24"/>
          <w:szCs w:val="24"/>
          <w:lang w:val="en-US"/>
        </w:rPr>
        <w:t xml:space="preserve"> Which</w:t>
      </w:r>
      <w:r w:rsidR="00395D40" w:rsidRPr="00CF0B64">
        <w:rPr>
          <w:rFonts w:ascii="Arial" w:hAnsi="Arial" w:cs="Arial"/>
          <w:sz w:val="24"/>
          <w:szCs w:val="24"/>
          <w:lang w:val="en-US"/>
        </w:rPr>
        <w:t xml:space="preserve"> of the following case laws may be said to be</w:t>
      </w:r>
      <w:r w:rsidR="00CF0B64" w:rsidRPr="00CF0B64">
        <w:rPr>
          <w:rFonts w:ascii="Arial" w:hAnsi="Arial" w:cs="Arial"/>
          <w:sz w:val="24"/>
          <w:szCs w:val="24"/>
          <w:lang w:val="en-US"/>
        </w:rPr>
        <w:t xml:space="preserve"> a</w:t>
      </w:r>
      <w:r w:rsidR="00395D40" w:rsidRPr="00CF0B64">
        <w:rPr>
          <w:rFonts w:ascii="Arial" w:hAnsi="Arial" w:cs="Arial"/>
          <w:sz w:val="24"/>
          <w:szCs w:val="24"/>
          <w:lang w:val="en-US"/>
        </w:rPr>
        <w:t xml:space="preserve"> landmark case in respect of section 263 of the Income-tax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Act,1961?</w:t>
      </w:r>
    </w:p>
    <w:p w14:paraId="7EF8133D" w14:textId="73DC27FF" w:rsidR="00395D40" w:rsidRPr="00CF0B64" w:rsidRDefault="00395D40" w:rsidP="00395D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Abhisar </w:t>
      </w:r>
      <w:proofErr w:type="spellStart"/>
      <w:r w:rsidRPr="00CF0B64">
        <w:rPr>
          <w:rFonts w:ascii="Arial" w:hAnsi="Arial" w:cs="Arial"/>
          <w:sz w:val="24"/>
          <w:szCs w:val="24"/>
          <w:lang w:val="en-US"/>
        </w:rPr>
        <w:t>Buildwell</w:t>
      </w:r>
      <w:proofErr w:type="spellEnd"/>
      <w:r w:rsidRPr="00CF0B64">
        <w:rPr>
          <w:rFonts w:ascii="Arial" w:hAnsi="Arial" w:cs="Arial"/>
          <w:sz w:val="24"/>
          <w:szCs w:val="24"/>
          <w:lang w:val="en-US"/>
        </w:rPr>
        <w:t xml:space="preserve"> case </w:t>
      </w:r>
    </w:p>
    <w:p w14:paraId="31293E94" w14:textId="37CEEB92" w:rsidR="00395D40" w:rsidRPr="00CF0B64" w:rsidRDefault="00395D40" w:rsidP="00395D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Poddar Cement case </w:t>
      </w:r>
    </w:p>
    <w:p w14:paraId="073B4B7A" w14:textId="0BACE76A" w:rsidR="00395D40" w:rsidRPr="00CF0B64" w:rsidRDefault="00395D40" w:rsidP="00395D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Jet Airways case</w:t>
      </w:r>
    </w:p>
    <w:p w14:paraId="60187186" w14:textId="57DDD755" w:rsidR="00395D40" w:rsidRPr="00CF0B64" w:rsidRDefault="00395D40" w:rsidP="00395D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Malabar </w:t>
      </w:r>
      <w:r w:rsidR="00CA7C64" w:rsidRPr="00CF0B64">
        <w:rPr>
          <w:rFonts w:ascii="Arial" w:hAnsi="Arial" w:cs="Arial"/>
          <w:sz w:val="24"/>
          <w:szCs w:val="24"/>
          <w:lang w:val="en-US"/>
        </w:rPr>
        <w:t>Industrial Co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case </w:t>
      </w:r>
    </w:p>
    <w:p w14:paraId="49272E0A" w14:textId="1C903BE8" w:rsidR="00395D40" w:rsidRPr="00CF0B64" w:rsidRDefault="00395D40" w:rsidP="00395D40">
      <w:p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8.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What is the filing fee for filing petition under section 264 of the Income tax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Act,1961?</w:t>
      </w:r>
    </w:p>
    <w:p w14:paraId="66BEA17D" w14:textId="535C74FB" w:rsidR="00395D40" w:rsidRPr="00CF0B64" w:rsidRDefault="00395D40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(a) Rupees ten only</w:t>
      </w:r>
    </w:p>
    <w:p w14:paraId="0CFD1E9C" w14:textId="346BF9F8" w:rsidR="00395D40" w:rsidRPr="00CF0B64" w:rsidRDefault="00395D40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(b) Rupees five hundred only</w:t>
      </w:r>
    </w:p>
    <w:p w14:paraId="2669CB32" w14:textId="75C847AC" w:rsidR="00395D40" w:rsidRPr="00CF0B64" w:rsidRDefault="00395D40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(c) Rupees one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thousand only</w:t>
      </w:r>
    </w:p>
    <w:p w14:paraId="0BE862D9" w14:textId="2A9AF738" w:rsidR="00395D40" w:rsidRPr="00CF0B64" w:rsidRDefault="00395D40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(d) None of the above.</w:t>
      </w:r>
    </w:p>
    <w:p w14:paraId="7926F0FF" w14:textId="77777777" w:rsidR="00787BFE" w:rsidRPr="00CF0B64" w:rsidRDefault="00787BFE" w:rsidP="00395D4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EBA7F26" w14:textId="167A9EB3" w:rsidR="00395D40" w:rsidRPr="00CF0B64" w:rsidRDefault="00395D40" w:rsidP="00395D40">
      <w:pPr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Pr="00CF0B64">
        <w:rPr>
          <w:rFonts w:ascii="Arial" w:hAnsi="Arial" w:cs="Arial"/>
          <w:sz w:val="24"/>
          <w:szCs w:val="24"/>
          <w:lang w:val="en-US"/>
        </w:rPr>
        <w:t>. Against which of the following orders, revision petition cannot be filed?</w:t>
      </w:r>
    </w:p>
    <w:p w14:paraId="5E21FD6E" w14:textId="1288BC21" w:rsidR="00395D40" w:rsidRPr="00CF0B64" w:rsidRDefault="00395D40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(a) Transfer Pricing order under section 92CA of </w:t>
      </w:r>
      <w:r w:rsidR="00787BFE" w:rsidRPr="00CF0B64">
        <w:rPr>
          <w:rFonts w:ascii="Arial" w:hAnsi="Arial" w:cs="Arial"/>
          <w:sz w:val="24"/>
          <w:szCs w:val="24"/>
          <w:lang w:val="en-US"/>
        </w:rPr>
        <w:t xml:space="preserve">the </w:t>
      </w:r>
      <w:r w:rsidRPr="00CF0B64">
        <w:rPr>
          <w:rFonts w:ascii="Arial" w:hAnsi="Arial" w:cs="Arial"/>
          <w:sz w:val="24"/>
          <w:szCs w:val="24"/>
          <w:lang w:val="en-US"/>
        </w:rPr>
        <w:t>Act</w:t>
      </w:r>
      <w:r w:rsidR="00787BFE" w:rsidRPr="00CF0B64">
        <w:rPr>
          <w:rFonts w:ascii="Arial" w:hAnsi="Arial" w:cs="Arial"/>
          <w:sz w:val="24"/>
          <w:szCs w:val="24"/>
          <w:lang w:val="en-US"/>
        </w:rPr>
        <w:t>.</w:t>
      </w:r>
    </w:p>
    <w:p w14:paraId="0D3C5EC2" w14:textId="24E8D038" w:rsidR="00395D40" w:rsidRPr="00CF0B64" w:rsidRDefault="00395D40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(b) Penalty order under section 271</w:t>
      </w:r>
      <w:r w:rsidR="006B6C9E" w:rsidRPr="00CF0B64">
        <w:rPr>
          <w:rFonts w:ascii="Arial" w:hAnsi="Arial" w:cs="Arial"/>
          <w:sz w:val="24"/>
          <w:szCs w:val="24"/>
          <w:lang w:val="en-US"/>
        </w:rPr>
        <w:t xml:space="preserve"> (1) (c)</w:t>
      </w:r>
      <w:r w:rsidR="00787BFE" w:rsidRPr="00CF0B64">
        <w:rPr>
          <w:rFonts w:ascii="Arial" w:hAnsi="Arial" w:cs="Arial"/>
          <w:sz w:val="24"/>
          <w:szCs w:val="24"/>
          <w:lang w:val="en-US"/>
        </w:rPr>
        <w:t xml:space="preserve"> of the Act.</w:t>
      </w:r>
    </w:p>
    <w:p w14:paraId="712529F9" w14:textId="29B06B0E" w:rsidR="006B6C9E" w:rsidRPr="00CF0B64" w:rsidRDefault="006B6C9E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(c) </w:t>
      </w:r>
      <w:r w:rsidR="004F7A97" w:rsidRPr="00CF0B64">
        <w:rPr>
          <w:rFonts w:ascii="Arial" w:hAnsi="Arial" w:cs="Arial"/>
          <w:sz w:val="24"/>
          <w:szCs w:val="24"/>
          <w:lang w:val="en-US"/>
        </w:rPr>
        <w:t>Assessment order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under section 143 (3) of the x Ac</w:t>
      </w:r>
      <w:r w:rsidR="00787BFE" w:rsidRPr="00CF0B64">
        <w:rPr>
          <w:rFonts w:ascii="Arial" w:hAnsi="Arial" w:cs="Arial"/>
          <w:sz w:val="24"/>
          <w:szCs w:val="24"/>
          <w:lang w:val="en-US"/>
        </w:rPr>
        <w:t>t.</w:t>
      </w:r>
    </w:p>
    <w:p w14:paraId="52AB591C" w14:textId="5C8568E0" w:rsidR="004F7A97" w:rsidRPr="00CF0B64" w:rsidRDefault="004F7A97" w:rsidP="00787BFE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(d) Against </w:t>
      </w:r>
      <w:r w:rsidR="004108D4" w:rsidRPr="00CF0B64">
        <w:rPr>
          <w:rFonts w:ascii="Arial" w:hAnsi="Arial" w:cs="Arial"/>
          <w:sz w:val="24"/>
          <w:szCs w:val="24"/>
          <w:lang w:val="en-US"/>
        </w:rPr>
        <w:t>all the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above.</w:t>
      </w:r>
    </w:p>
    <w:p w14:paraId="36913E01" w14:textId="77777777" w:rsidR="00787BFE" w:rsidRPr="00CF0B64" w:rsidRDefault="00787BFE" w:rsidP="00395D40">
      <w:pPr>
        <w:rPr>
          <w:rFonts w:ascii="Arial" w:hAnsi="Arial" w:cs="Arial"/>
          <w:sz w:val="24"/>
          <w:szCs w:val="24"/>
          <w:lang w:val="en-US"/>
        </w:rPr>
      </w:pPr>
    </w:p>
    <w:p w14:paraId="49BA30F3" w14:textId="5D80F058" w:rsidR="004F7A97" w:rsidRPr="00CF0B64" w:rsidRDefault="004F7A97" w:rsidP="00787BFE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10.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In which the following cases </w:t>
      </w:r>
      <w:r w:rsidR="00F417F4" w:rsidRPr="00CF0B64">
        <w:rPr>
          <w:rFonts w:ascii="Arial" w:hAnsi="Arial" w:cs="Arial"/>
          <w:sz w:val="24"/>
          <w:szCs w:val="24"/>
          <w:lang w:val="en-US"/>
        </w:rPr>
        <w:t>may the assessment order</w:t>
      </w:r>
      <w:r w:rsidRPr="00CF0B64">
        <w:rPr>
          <w:rFonts w:ascii="Arial" w:hAnsi="Arial" w:cs="Arial"/>
          <w:sz w:val="24"/>
          <w:szCs w:val="24"/>
          <w:lang w:val="en-US"/>
        </w:rPr>
        <w:t xml:space="preserve"> be revised under section 263 of the Income-tax Act, 1961?</w:t>
      </w:r>
    </w:p>
    <w:p w14:paraId="28381D0C" w14:textId="53B87A63" w:rsidR="004F7A97" w:rsidRPr="00CF0B64" w:rsidRDefault="004F7A97" w:rsidP="004108D4">
      <w:pPr>
        <w:spacing w:after="100" w:afterAutospacing="1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(a) The order is </w:t>
      </w:r>
      <w:r w:rsidR="00F417F4" w:rsidRPr="00CF0B64">
        <w:rPr>
          <w:rFonts w:ascii="Arial" w:hAnsi="Arial" w:cs="Arial"/>
          <w:sz w:val="24"/>
          <w:szCs w:val="24"/>
          <w:lang w:val="en-US"/>
        </w:rPr>
        <w:t>barred by limitation</w:t>
      </w:r>
    </w:p>
    <w:p w14:paraId="3EFFCBFB" w14:textId="78A8DDDD" w:rsidR="004F7A97" w:rsidRPr="00CF0B64" w:rsidRDefault="004F7A97" w:rsidP="004108D4">
      <w:pPr>
        <w:spacing w:after="100" w:afterAutospacing="1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 xml:space="preserve">(b) </w:t>
      </w:r>
      <w:r w:rsidR="00CF0B64" w:rsidRPr="00CF0B64">
        <w:rPr>
          <w:rFonts w:ascii="Arial" w:hAnsi="Arial" w:cs="Arial"/>
          <w:sz w:val="24"/>
          <w:szCs w:val="24"/>
          <w:lang w:val="en-US"/>
        </w:rPr>
        <w:t>The Assessing Officer did not have the jurisdiction to pass the order.</w:t>
      </w:r>
    </w:p>
    <w:p w14:paraId="079085CF" w14:textId="00DD3777" w:rsidR="00F417F4" w:rsidRPr="00CF0B64" w:rsidRDefault="00F417F4" w:rsidP="004108D4">
      <w:pPr>
        <w:spacing w:after="100" w:afterAutospacing="1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(c)</w:t>
      </w:r>
      <w:r w:rsidR="00CF0B64" w:rsidRPr="00CF0B64">
        <w:rPr>
          <w:rFonts w:ascii="Arial" w:hAnsi="Arial" w:cs="Arial"/>
          <w:sz w:val="24"/>
          <w:szCs w:val="24"/>
          <w:lang w:val="en-US"/>
        </w:rPr>
        <w:t xml:space="preserve"> The order has not been passed in accordance with any revenue </w:t>
      </w:r>
      <w:proofErr w:type="spellStart"/>
      <w:r w:rsidR="00CF0B64" w:rsidRPr="00CF0B64">
        <w:rPr>
          <w:rFonts w:ascii="Arial" w:hAnsi="Arial" w:cs="Arial"/>
          <w:sz w:val="24"/>
          <w:szCs w:val="24"/>
          <w:lang w:val="en-US"/>
        </w:rPr>
        <w:t>favourable</w:t>
      </w:r>
      <w:proofErr w:type="spellEnd"/>
      <w:r w:rsidR="00CF0B64" w:rsidRPr="00CF0B64">
        <w:rPr>
          <w:rFonts w:ascii="Arial" w:hAnsi="Arial" w:cs="Arial"/>
          <w:sz w:val="24"/>
          <w:szCs w:val="24"/>
          <w:lang w:val="en-US"/>
        </w:rPr>
        <w:t xml:space="preserve"> decision of the jurisdictional High Court</w:t>
      </w:r>
      <w:r w:rsidR="00CF0B64" w:rsidRPr="00CF0B64">
        <w:rPr>
          <w:rFonts w:ascii="Arial" w:hAnsi="Arial" w:cs="Arial"/>
          <w:sz w:val="24"/>
          <w:szCs w:val="24"/>
          <w:lang w:val="en-US"/>
        </w:rPr>
        <w:t>.</w:t>
      </w:r>
    </w:p>
    <w:p w14:paraId="6A252760" w14:textId="2DD7A30B" w:rsidR="00F417F4" w:rsidRPr="00CF0B64" w:rsidRDefault="00F417F4" w:rsidP="004108D4">
      <w:pPr>
        <w:spacing w:after="100" w:afterAutospacing="1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CF0B64">
        <w:rPr>
          <w:rFonts w:ascii="Arial" w:hAnsi="Arial" w:cs="Arial"/>
          <w:sz w:val="24"/>
          <w:szCs w:val="24"/>
          <w:lang w:val="en-US"/>
        </w:rPr>
        <w:t>(d) All of the above.</w:t>
      </w:r>
    </w:p>
    <w:p w14:paraId="08118D66" w14:textId="77777777" w:rsidR="00F417F4" w:rsidRPr="00CF0B64" w:rsidRDefault="00F417F4" w:rsidP="00395D40">
      <w:pPr>
        <w:rPr>
          <w:rFonts w:ascii="Arial" w:hAnsi="Arial" w:cs="Arial"/>
          <w:sz w:val="24"/>
          <w:szCs w:val="24"/>
          <w:lang w:val="en-US"/>
        </w:rPr>
      </w:pPr>
    </w:p>
    <w:p w14:paraId="1735EF5E" w14:textId="77777777" w:rsidR="00F417F4" w:rsidRPr="00CF0B64" w:rsidRDefault="00F417F4" w:rsidP="00395D40">
      <w:pPr>
        <w:rPr>
          <w:rFonts w:ascii="Arial" w:hAnsi="Arial" w:cs="Arial"/>
          <w:sz w:val="24"/>
          <w:szCs w:val="24"/>
          <w:lang w:val="en-US"/>
        </w:rPr>
      </w:pPr>
    </w:p>
    <w:p w14:paraId="5D72626F" w14:textId="77777777" w:rsidR="004108D4" w:rsidRPr="00CF0B64" w:rsidRDefault="004108D4" w:rsidP="00395D40">
      <w:pPr>
        <w:rPr>
          <w:rFonts w:ascii="Arial" w:hAnsi="Arial" w:cs="Arial"/>
          <w:sz w:val="24"/>
          <w:szCs w:val="24"/>
          <w:lang w:val="en-US"/>
        </w:rPr>
      </w:pPr>
    </w:p>
    <w:p w14:paraId="47B87422" w14:textId="77777777" w:rsidR="004108D4" w:rsidRPr="00CF0B64" w:rsidRDefault="004108D4" w:rsidP="00395D40">
      <w:pPr>
        <w:rPr>
          <w:rFonts w:ascii="Arial" w:hAnsi="Arial" w:cs="Arial"/>
          <w:sz w:val="24"/>
          <w:szCs w:val="24"/>
          <w:lang w:val="en-US"/>
        </w:rPr>
      </w:pPr>
    </w:p>
    <w:p w14:paraId="6403938D" w14:textId="7CAE4392" w:rsidR="004108D4" w:rsidRPr="00CF0B64" w:rsidRDefault="00C26D42" w:rsidP="00C26D42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>Revision under section 263 and 264</w:t>
      </w:r>
    </w:p>
    <w:p w14:paraId="51263EA7" w14:textId="171478D2" w:rsidR="00F417F4" w:rsidRPr="00CF0B64" w:rsidRDefault="00F417F4" w:rsidP="004108D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F0B64">
        <w:rPr>
          <w:rFonts w:ascii="Arial" w:hAnsi="Arial" w:cs="Arial"/>
          <w:b/>
          <w:bCs/>
          <w:sz w:val="24"/>
          <w:szCs w:val="24"/>
          <w:lang w:val="en-US"/>
        </w:rPr>
        <w:t xml:space="preserve">Answer Key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01"/>
      </w:tblGrid>
      <w:tr w:rsidR="00F417F4" w:rsidRPr="00CF0B64" w14:paraId="7EAF151B" w14:textId="77777777" w:rsidTr="00F417F4">
        <w:tc>
          <w:tcPr>
            <w:tcW w:w="1838" w:type="dxa"/>
          </w:tcPr>
          <w:p w14:paraId="71E5ED51" w14:textId="588CDFF2" w:rsidR="00F417F4" w:rsidRPr="00CF0B64" w:rsidRDefault="00F417F4" w:rsidP="004108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Question No</w:t>
            </w:r>
          </w:p>
        </w:tc>
        <w:tc>
          <w:tcPr>
            <w:tcW w:w="2977" w:type="dxa"/>
          </w:tcPr>
          <w:p w14:paraId="1CCE234E" w14:textId="1EFA9998" w:rsidR="00F417F4" w:rsidRPr="00CF0B64" w:rsidRDefault="00F417F4" w:rsidP="004108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Answer</w:t>
            </w:r>
          </w:p>
        </w:tc>
        <w:tc>
          <w:tcPr>
            <w:tcW w:w="4201" w:type="dxa"/>
          </w:tcPr>
          <w:p w14:paraId="2B2D29F3" w14:textId="0EE322A8" w:rsidR="00F417F4" w:rsidRPr="00CF0B64" w:rsidRDefault="00F417F4" w:rsidP="004108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Rationale</w:t>
            </w:r>
          </w:p>
        </w:tc>
      </w:tr>
      <w:tr w:rsidR="00F417F4" w:rsidRPr="00CF0B64" w14:paraId="0E25BC90" w14:textId="77777777" w:rsidTr="00F417F4">
        <w:tc>
          <w:tcPr>
            <w:tcW w:w="1838" w:type="dxa"/>
          </w:tcPr>
          <w:p w14:paraId="1DC9B81A" w14:textId="21666049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5EA88AB2" w14:textId="18BB7F2A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4201" w:type="dxa"/>
          </w:tcPr>
          <w:p w14:paraId="02DDB2EC" w14:textId="4DF9D416" w:rsidR="00F417F4" w:rsidRPr="00CF0B64" w:rsidRDefault="00C26D42" w:rsidP="004108D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Commissioner (Appeals) is an authority whose order can be challenged only before the Appellate Tribunal.</w:t>
            </w:r>
          </w:p>
        </w:tc>
      </w:tr>
      <w:tr w:rsidR="00F417F4" w:rsidRPr="00CF0B64" w14:paraId="22F500DD" w14:textId="77777777" w:rsidTr="00F417F4">
        <w:tc>
          <w:tcPr>
            <w:tcW w:w="1838" w:type="dxa"/>
          </w:tcPr>
          <w:p w14:paraId="58BF95F6" w14:textId="2471B862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14:paraId="48E8F14F" w14:textId="5DD94A7B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4201" w:type="dxa"/>
          </w:tcPr>
          <w:p w14:paraId="2B7E2F9A" w14:textId="5592E2DD" w:rsidR="00F417F4" w:rsidRPr="00CF0B64" w:rsidRDefault="00F417F4" w:rsidP="004108D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Please see section 263</w:t>
            </w:r>
          </w:p>
        </w:tc>
      </w:tr>
      <w:tr w:rsidR="00F417F4" w:rsidRPr="00CF0B64" w14:paraId="19EBA92B" w14:textId="77777777" w:rsidTr="00F417F4">
        <w:tc>
          <w:tcPr>
            <w:tcW w:w="1838" w:type="dxa"/>
          </w:tcPr>
          <w:p w14:paraId="2C2ED090" w14:textId="7F16151E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14:paraId="1B03F995" w14:textId="0416DE15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4201" w:type="dxa"/>
          </w:tcPr>
          <w:p w14:paraId="028A97BC" w14:textId="21497049" w:rsidR="00F417F4" w:rsidRPr="00CF0B64" w:rsidRDefault="00F417F4" w:rsidP="004108D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Petion under section 264has to be filed after withdrawing the right to file appeal. The only course available is filing writ petition</w:t>
            </w:r>
          </w:p>
        </w:tc>
      </w:tr>
      <w:tr w:rsidR="00F417F4" w:rsidRPr="00CF0B64" w14:paraId="1678C888" w14:textId="77777777" w:rsidTr="00F417F4">
        <w:tc>
          <w:tcPr>
            <w:tcW w:w="1838" w:type="dxa"/>
          </w:tcPr>
          <w:p w14:paraId="00C58E00" w14:textId="1965762A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14:paraId="35E54308" w14:textId="0DE2F40C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4201" w:type="dxa"/>
          </w:tcPr>
          <w:p w14:paraId="37496A1E" w14:textId="1E593F00" w:rsidR="00F417F4" w:rsidRPr="00CF0B64" w:rsidRDefault="00F417F4" w:rsidP="004108D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See Explanation 1 </w:t>
            </w:r>
            <w:r w:rsidR="00CA7C64" w:rsidRPr="00CF0B64">
              <w:rPr>
                <w:rFonts w:ascii="Arial" w:hAnsi="Arial" w:cs="Arial"/>
                <w:sz w:val="24"/>
                <w:szCs w:val="24"/>
                <w:lang w:val="en-US"/>
              </w:rPr>
              <w:t>below</w:t>
            </w: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 section 263.</w:t>
            </w:r>
          </w:p>
        </w:tc>
      </w:tr>
      <w:tr w:rsidR="00F417F4" w:rsidRPr="00CF0B64" w14:paraId="3C747F68" w14:textId="77777777" w:rsidTr="00F417F4">
        <w:tc>
          <w:tcPr>
            <w:tcW w:w="1838" w:type="dxa"/>
          </w:tcPr>
          <w:p w14:paraId="32B1D5C2" w14:textId="12BAC00D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14:paraId="6B6250D6" w14:textId="6538FC51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(c)</w:t>
            </w:r>
          </w:p>
        </w:tc>
        <w:tc>
          <w:tcPr>
            <w:tcW w:w="4201" w:type="dxa"/>
          </w:tcPr>
          <w:p w14:paraId="35C40805" w14:textId="2F611D74" w:rsidR="00F417F4" w:rsidRPr="00CF0B64" w:rsidRDefault="004108D4" w:rsidP="00395D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Any order passed by an Assessing </w:t>
            </w:r>
            <w:r w:rsidR="00C26D42" w:rsidRPr="00CF0B64">
              <w:rPr>
                <w:rFonts w:ascii="Arial" w:hAnsi="Arial" w:cs="Arial"/>
                <w:sz w:val="24"/>
                <w:szCs w:val="24"/>
                <w:lang w:val="en-US"/>
              </w:rPr>
              <w:t>Officer</w:t>
            </w: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including assessment order and penalty order may be revised under section 263 of the Act.</w:t>
            </w:r>
          </w:p>
        </w:tc>
      </w:tr>
      <w:tr w:rsidR="00F417F4" w:rsidRPr="00CF0B64" w14:paraId="5DC383C8" w14:textId="77777777" w:rsidTr="00F417F4">
        <w:tc>
          <w:tcPr>
            <w:tcW w:w="1838" w:type="dxa"/>
          </w:tcPr>
          <w:p w14:paraId="5C489F95" w14:textId="75B10CEF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</w:tcPr>
          <w:p w14:paraId="691EF90F" w14:textId="552F9005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(b)</w:t>
            </w:r>
          </w:p>
        </w:tc>
        <w:tc>
          <w:tcPr>
            <w:tcW w:w="4201" w:type="dxa"/>
          </w:tcPr>
          <w:p w14:paraId="64459DCC" w14:textId="3DAC0198" w:rsidR="00F417F4" w:rsidRPr="00CF0B64" w:rsidRDefault="00CF0B64" w:rsidP="00395D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See Chambal </w:t>
            </w:r>
            <w:proofErr w:type="gramStart"/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Fertisiers  and</w:t>
            </w:r>
            <w:proofErr w:type="gramEnd"/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 Chemicals Ltd 170 taxmann.com 544</w:t>
            </w:r>
          </w:p>
        </w:tc>
      </w:tr>
      <w:tr w:rsidR="00F417F4" w:rsidRPr="00CF0B64" w14:paraId="513B2125" w14:textId="77777777" w:rsidTr="00F417F4">
        <w:tc>
          <w:tcPr>
            <w:tcW w:w="1838" w:type="dxa"/>
          </w:tcPr>
          <w:p w14:paraId="30A38658" w14:textId="75B5369D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14:paraId="0C65AD06" w14:textId="1BA9D649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(d)</w:t>
            </w:r>
          </w:p>
        </w:tc>
        <w:tc>
          <w:tcPr>
            <w:tcW w:w="4201" w:type="dxa"/>
          </w:tcPr>
          <w:p w14:paraId="33AB647F" w14:textId="50644CBA" w:rsidR="00F417F4" w:rsidRPr="00CF0B64" w:rsidRDefault="004108D4" w:rsidP="00395D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 xml:space="preserve">Malabar is a celebrated case regarding power of the competent authority under </w:t>
            </w:r>
            <w:r w:rsidR="00CA7C64" w:rsidRPr="00CF0B64">
              <w:rPr>
                <w:rFonts w:ascii="Arial" w:hAnsi="Arial" w:cs="Arial"/>
                <w:sz w:val="24"/>
                <w:szCs w:val="24"/>
                <w:lang w:val="en-US"/>
              </w:rPr>
              <w:t>the Income</w:t>
            </w: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-tax Act,1961</w:t>
            </w:r>
            <w:r w:rsidR="00CA7C64" w:rsidRPr="00CF0B64">
              <w:rPr>
                <w:rFonts w:ascii="Arial" w:hAnsi="Arial" w:cs="Arial"/>
                <w:sz w:val="24"/>
                <w:szCs w:val="24"/>
                <w:lang w:val="en-US"/>
              </w:rPr>
              <w:t>, in the matter of revisional power of Commissioner u/s 263 of the Act.</w:t>
            </w:r>
          </w:p>
        </w:tc>
      </w:tr>
      <w:tr w:rsidR="00F417F4" w:rsidRPr="00CF0B64" w14:paraId="3DF91538" w14:textId="77777777" w:rsidTr="00F417F4">
        <w:tc>
          <w:tcPr>
            <w:tcW w:w="1838" w:type="dxa"/>
          </w:tcPr>
          <w:p w14:paraId="64736D71" w14:textId="01EDEE3E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14:paraId="3B3A828F" w14:textId="77777777" w:rsidR="00F417F4" w:rsidRPr="00CF0B64" w:rsidRDefault="00F417F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01" w:type="dxa"/>
          </w:tcPr>
          <w:p w14:paraId="4EAF811D" w14:textId="6077015C" w:rsidR="00F417F4" w:rsidRPr="00CF0B64" w:rsidRDefault="00CA7C64" w:rsidP="00395D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Please see section 264(5) of the Act,</w:t>
            </w:r>
          </w:p>
        </w:tc>
      </w:tr>
      <w:tr w:rsidR="00F417F4" w:rsidRPr="00CF0B64" w14:paraId="0EDB1ADC" w14:textId="77777777" w:rsidTr="00F417F4">
        <w:tc>
          <w:tcPr>
            <w:tcW w:w="1838" w:type="dxa"/>
          </w:tcPr>
          <w:p w14:paraId="17AFDD76" w14:textId="105FE35C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</w:tcPr>
          <w:p w14:paraId="50CFC2B8" w14:textId="1FA0F7A1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(a)</w:t>
            </w:r>
          </w:p>
        </w:tc>
        <w:tc>
          <w:tcPr>
            <w:tcW w:w="4201" w:type="dxa"/>
          </w:tcPr>
          <w:p w14:paraId="4D6DF84A" w14:textId="47E356BA" w:rsidR="00F417F4" w:rsidRPr="00CF0B64" w:rsidRDefault="004108D4" w:rsidP="00395D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Please see sec 264</w:t>
            </w:r>
            <w:r w:rsidR="00CF0B64" w:rsidRPr="00CF0B64">
              <w:rPr>
                <w:rFonts w:ascii="Arial" w:hAnsi="Arial" w:cs="Arial"/>
                <w:sz w:val="24"/>
                <w:szCs w:val="24"/>
                <w:lang w:val="en-US"/>
              </w:rPr>
              <w:t>. The order of the TPO is not appealable. Further, it is an intermediary step in the assessment procedure. Not subject to revision u/s 264.</w:t>
            </w:r>
          </w:p>
        </w:tc>
      </w:tr>
      <w:tr w:rsidR="00F417F4" w:rsidRPr="00CF0B64" w14:paraId="71547407" w14:textId="77777777" w:rsidTr="00F417F4">
        <w:tc>
          <w:tcPr>
            <w:tcW w:w="1838" w:type="dxa"/>
          </w:tcPr>
          <w:p w14:paraId="06A21396" w14:textId="0DE82F89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</w:tcPr>
          <w:p w14:paraId="12D614AC" w14:textId="633B345C" w:rsidR="00F417F4" w:rsidRPr="00CF0B64" w:rsidRDefault="004108D4" w:rsidP="004108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CF0B64" w:rsidRPr="00CF0B64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201" w:type="dxa"/>
          </w:tcPr>
          <w:p w14:paraId="39E3C049" w14:textId="021FF4AF" w:rsidR="00F417F4" w:rsidRPr="00CF0B64" w:rsidRDefault="004108D4" w:rsidP="00395D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F0B64">
              <w:rPr>
                <w:rFonts w:ascii="Arial" w:hAnsi="Arial" w:cs="Arial"/>
                <w:sz w:val="24"/>
                <w:szCs w:val="24"/>
                <w:lang w:val="en-US"/>
              </w:rPr>
              <w:t>Please see Explanation 3 below section 264.</w:t>
            </w:r>
          </w:p>
        </w:tc>
      </w:tr>
    </w:tbl>
    <w:p w14:paraId="07865E9A" w14:textId="77777777" w:rsidR="00F417F4" w:rsidRPr="00CF0B64" w:rsidRDefault="00F417F4" w:rsidP="00395D40">
      <w:pPr>
        <w:rPr>
          <w:rFonts w:ascii="Arial" w:hAnsi="Arial" w:cs="Arial"/>
          <w:sz w:val="24"/>
          <w:szCs w:val="24"/>
          <w:lang w:val="en-US"/>
        </w:rPr>
      </w:pPr>
    </w:p>
    <w:p w14:paraId="4B4002C9" w14:textId="77777777" w:rsidR="00F417F4" w:rsidRPr="00CF0B64" w:rsidRDefault="00F417F4" w:rsidP="00395D40">
      <w:pPr>
        <w:rPr>
          <w:rFonts w:ascii="Arial" w:hAnsi="Arial" w:cs="Arial"/>
          <w:sz w:val="24"/>
          <w:szCs w:val="24"/>
          <w:lang w:val="en-US"/>
        </w:rPr>
      </w:pPr>
    </w:p>
    <w:p w14:paraId="3271AFC6" w14:textId="77777777" w:rsidR="00F417F4" w:rsidRPr="00CF0B64" w:rsidRDefault="00F417F4" w:rsidP="00395D40">
      <w:pPr>
        <w:rPr>
          <w:rFonts w:ascii="Arial" w:hAnsi="Arial" w:cs="Arial"/>
          <w:sz w:val="24"/>
          <w:szCs w:val="24"/>
          <w:lang w:val="en-US"/>
        </w:rPr>
      </w:pPr>
    </w:p>
    <w:p w14:paraId="5F6941EF" w14:textId="77777777" w:rsidR="00F417F4" w:rsidRPr="00CF0B64" w:rsidRDefault="00F417F4" w:rsidP="00395D40">
      <w:pPr>
        <w:rPr>
          <w:rFonts w:ascii="Arial" w:hAnsi="Arial" w:cs="Arial"/>
          <w:sz w:val="24"/>
          <w:szCs w:val="24"/>
          <w:lang w:val="en-US"/>
        </w:rPr>
      </w:pPr>
    </w:p>
    <w:p w14:paraId="46880D40" w14:textId="77777777" w:rsidR="00395D40" w:rsidRPr="00CF0B64" w:rsidRDefault="00395D40" w:rsidP="00395D40">
      <w:pPr>
        <w:rPr>
          <w:rFonts w:ascii="Arial" w:hAnsi="Arial" w:cs="Arial"/>
          <w:sz w:val="24"/>
          <w:szCs w:val="24"/>
          <w:lang w:val="en-US"/>
        </w:rPr>
      </w:pPr>
    </w:p>
    <w:sectPr w:rsidR="00395D40" w:rsidRPr="00CF0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DBB"/>
    <w:multiLevelType w:val="hybridMultilevel"/>
    <w:tmpl w:val="BA70D9A6"/>
    <w:lvl w:ilvl="0" w:tplc="BB30C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088B"/>
    <w:multiLevelType w:val="hybridMultilevel"/>
    <w:tmpl w:val="FD1815F0"/>
    <w:lvl w:ilvl="0" w:tplc="7A081814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446702B"/>
    <w:multiLevelType w:val="hybridMultilevel"/>
    <w:tmpl w:val="191CB750"/>
    <w:lvl w:ilvl="0" w:tplc="792AC09E">
      <w:start w:val="1"/>
      <w:numFmt w:val="lowerLetter"/>
      <w:lvlText w:val="(%1)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485655774">
    <w:abstractNumId w:val="0"/>
  </w:num>
  <w:num w:numId="2" w16cid:durableId="1713923947">
    <w:abstractNumId w:val="2"/>
  </w:num>
  <w:num w:numId="3" w16cid:durableId="113063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ED"/>
    <w:rsid w:val="00030F51"/>
    <w:rsid w:val="001B3652"/>
    <w:rsid w:val="00327025"/>
    <w:rsid w:val="00395D40"/>
    <w:rsid w:val="004108D4"/>
    <w:rsid w:val="004F7A97"/>
    <w:rsid w:val="0060186B"/>
    <w:rsid w:val="00662059"/>
    <w:rsid w:val="006929FA"/>
    <w:rsid w:val="006B6C9E"/>
    <w:rsid w:val="006D5576"/>
    <w:rsid w:val="00787BFE"/>
    <w:rsid w:val="009F4089"/>
    <w:rsid w:val="00A347ED"/>
    <w:rsid w:val="00B31A5C"/>
    <w:rsid w:val="00C26D42"/>
    <w:rsid w:val="00C6244A"/>
    <w:rsid w:val="00CA7C64"/>
    <w:rsid w:val="00CC5FA8"/>
    <w:rsid w:val="00CF0B64"/>
    <w:rsid w:val="00D40F9C"/>
    <w:rsid w:val="00F417F4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C898"/>
  <w15:chartTrackingRefBased/>
  <w15:docId w15:val="{14A2B0E3-FAAD-48A1-A456-2836479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BARAN SOM</dc:creator>
  <cp:keywords/>
  <dc:description/>
  <cp:lastModifiedBy>NILAY BARAN SOM</cp:lastModifiedBy>
  <cp:revision>10</cp:revision>
  <dcterms:created xsi:type="dcterms:W3CDTF">2025-07-17T23:27:00Z</dcterms:created>
  <dcterms:modified xsi:type="dcterms:W3CDTF">2025-07-18T09:51:00Z</dcterms:modified>
</cp:coreProperties>
</file>