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C04D" w14:textId="5E089AE8" w:rsidR="00C02805" w:rsidRPr="00582687" w:rsidRDefault="00C02805" w:rsidP="00582687">
      <w:pPr>
        <w:pBdr>
          <w:bottom w:val="single" w:sz="4" w:space="1" w:color="auto"/>
        </w:pBdr>
        <w:spacing w:after="0" w:line="320" w:lineRule="exact"/>
        <w:jc w:val="both"/>
        <w:rPr>
          <w:rFonts w:ascii="Arial" w:hAnsi="Arial" w:cs="Arial"/>
          <w:b/>
          <w:bCs/>
        </w:rPr>
      </w:pPr>
      <w:r w:rsidRPr="00582687">
        <w:rPr>
          <w:rFonts w:ascii="Arial" w:hAnsi="Arial" w:cs="Arial"/>
          <w:b/>
          <w:bCs/>
        </w:rPr>
        <w:t xml:space="preserve">MCQ </w:t>
      </w:r>
      <w:r w:rsidR="00582687" w:rsidRPr="00582687">
        <w:rPr>
          <w:rFonts w:ascii="Arial" w:hAnsi="Arial" w:cs="Arial"/>
          <w:b/>
          <w:bCs/>
        </w:rPr>
        <w:t>– Demand and Recovery under GST Laws</w:t>
      </w:r>
    </w:p>
    <w:p w14:paraId="09445926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02C0EE5" w14:textId="4401847C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1) Different designations have been prescribed to function as a proper officer on the basis of ___________ for issue of notice and demand. </w:t>
      </w:r>
    </w:p>
    <w:p w14:paraId="726C2A02" w14:textId="34DCB541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a. Subordinate level of Central Tax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Officers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b. Seniority level of Central Tax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Officers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.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582687">
        <w:rPr>
          <w:rFonts w:ascii="Arial" w:hAnsi="Arial" w:cs="Arial"/>
          <w:color w:val="000000" w:themeColor="text1"/>
          <w:sz w:val="23"/>
          <w:szCs w:val="23"/>
        </w:rPr>
        <w:t>c.Monetary</w:t>
      </w:r>
      <w:proofErr w:type="spell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limit of the tax involved d. Type of tax involved </w:t>
      </w:r>
    </w:p>
    <w:p w14:paraId="2D6FD481" w14:textId="77777777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29F05D52" w14:textId="61C1A07A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2) What is the time limit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under section 73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for issue of order in case of reasons other than fraud, misstatement </w:t>
      </w:r>
      <w:proofErr w:type="gramStart"/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or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>suppression</w:t>
      </w:r>
      <w:proofErr w:type="gramEnd"/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? </w:t>
      </w:r>
    </w:p>
    <w:p w14:paraId="165C7CA5" w14:textId="0F955D8E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a. 1 year b. 2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years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c.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3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years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d.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5 years </w:t>
      </w:r>
    </w:p>
    <w:p w14:paraId="4C68707A" w14:textId="7E0E2E13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DAFD4C8" w14:textId="2CD0CFD3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(3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) What is the prescribed monetary limit of Integrated Tax for Superintendent of Central </w:t>
      </w:r>
    </w:p>
    <w:p w14:paraId="3D82DC0A" w14:textId="2BAD9F32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Tax for issuance of show cause notices and orders under Section 73 and 74 read with </w:t>
      </w:r>
    </w:p>
    <w:p w14:paraId="60404E3D" w14:textId="64416547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Section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>20  of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>the  IGST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Act? </w:t>
      </w:r>
    </w:p>
    <w:p w14:paraId="039C8F8B" w14:textId="7C412834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a. Not exceeding Rupees 10lakhs</w:t>
      </w:r>
      <w:r w:rsidR="00582687" w:rsidRPr="0058268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b. Above Rupees 10 lakhs and not exceeding R</w:t>
      </w:r>
      <w:r w:rsidR="00582687" w:rsidRPr="00582687">
        <w:rPr>
          <w:rFonts w:ascii="Arial" w:hAnsi="Arial" w:cs="Arial"/>
          <w:color w:val="000000" w:themeColor="text1"/>
          <w:sz w:val="23"/>
          <w:szCs w:val="23"/>
        </w:rPr>
        <w:t>s.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1</w:t>
      </w:r>
      <w:r w:rsidR="00582687" w:rsidRPr="00582687">
        <w:rPr>
          <w:rFonts w:ascii="Arial" w:hAnsi="Arial" w:cs="Arial"/>
          <w:color w:val="000000" w:themeColor="text1"/>
          <w:sz w:val="23"/>
          <w:szCs w:val="23"/>
        </w:rPr>
        <w:t xml:space="preserve"> C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rore</w:t>
      </w:r>
      <w:r w:rsidR="00582687" w:rsidRPr="00582687">
        <w:rPr>
          <w:rFonts w:ascii="Arial" w:hAnsi="Arial" w:cs="Arial"/>
          <w:color w:val="000000" w:themeColor="text1"/>
          <w:sz w:val="23"/>
          <w:szCs w:val="23"/>
        </w:rPr>
        <w:t xml:space="preserve">.                   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c. Above Rupees 1 crore without any limit d. Not exceeding Rupees 20 lakhs </w:t>
      </w:r>
    </w:p>
    <w:p w14:paraId="0A938F08" w14:textId="2A2239BF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9E2E61E" w14:textId="5A2732B2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(4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) What is the rate of interest that needs to be paid in case of default as per section 73? </w:t>
      </w:r>
    </w:p>
    <w:p w14:paraId="3C101A4E" w14:textId="3D9084A0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a. 5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%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b. 12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%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c. 18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%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d. 2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4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% </w:t>
      </w:r>
    </w:p>
    <w:p w14:paraId="0A97CD48" w14:textId="6C3CC8DC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0B532A7" w14:textId="7C94239D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(5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) . What is the rate of penalty for default u/s 74 if the payment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of tax and interest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has been made after issue </w:t>
      </w:r>
      <w:proofErr w:type="gramStart"/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>of  notice</w:t>
      </w:r>
      <w:proofErr w:type="gramEnd"/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? </w:t>
      </w:r>
    </w:p>
    <w:p w14:paraId="793F1AD3" w14:textId="1B05EC85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a. 10 % b. 12 % c. 15 % d. 25 % </w:t>
      </w:r>
    </w:p>
    <w:p w14:paraId="04F4F9A1" w14:textId="77777777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57461611" w14:textId="4FB20C71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(6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) . The notice should be issued at least ________before me limit of issue of order u/s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>7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3. </w:t>
      </w:r>
    </w:p>
    <w:p w14:paraId="37ACFC4E" w14:textId="3991EFF5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a. 1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month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b. 2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months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c. 6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months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d. 3 months </w:t>
      </w:r>
    </w:p>
    <w:p w14:paraId="0968A1BD" w14:textId="2EAF6E42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DE7599C" w14:textId="0934F545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>7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>)Any</w:t>
      </w:r>
      <w:proofErr w:type="gramEnd"/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 amount of demand debited in the electronic liability register shall stand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___________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given by the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A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ppellate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A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uthority or Appellate Tribunal or Court &amp; the electronic liability register shall be credited accordingly. </w:t>
      </w:r>
    </w:p>
    <w:p w14:paraId="306E6BB5" w14:textId="5D8F42DF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a) Reduced to the extent of relief b) Increased to the extent of relief c) Similar to the extent of 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relief </w:t>
      </w:r>
      <w:r w:rsidR="00582687"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>d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) Either (a) or (b) </w:t>
      </w:r>
    </w:p>
    <w:p w14:paraId="09D52D05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5ED6DE5" w14:textId="6AB055B7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(8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)  Maximum number of monthly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>instalments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 permissible under section 80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of CGST Laws 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is: </w:t>
      </w:r>
    </w:p>
    <w:p w14:paraId="109A7F85" w14:textId="4B6A362D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a. 36 b. 12 c. 48 d. 24 </w:t>
      </w:r>
    </w:p>
    <w:p w14:paraId="4685A445" w14:textId="77777777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3A3534A" w14:textId="67E6CF65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(9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) What liabilities can be recovered on account of first charge on the property of such taxable person or such person as per section 82 of the CGST Act, 2017? </w:t>
      </w:r>
    </w:p>
    <w:p w14:paraId="379C4855" w14:textId="7B4A7F38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a. Tax b. Interest c. Penalty d. All of the above </w:t>
      </w:r>
    </w:p>
    <w:p w14:paraId="1553F8FD" w14:textId="77777777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5A23E5D" w14:textId="65898601" w:rsidR="00C02805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(10</w:t>
      </w:r>
      <w:r w:rsidR="00C02805" w:rsidRPr="00582687">
        <w:rPr>
          <w:rFonts w:ascii="Arial" w:hAnsi="Arial" w:cs="Arial"/>
          <w:color w:val="000000" w:themeColor="text1"/>
          <w:sz w:val="23"/>
          <w:szCs w:val="23"/>
        </w:rPr>
        <w:t xml:space="preserve">) When Commissioner is not required to serve fresh notice to recover the Government dues? </w:t>
      </w:r>
    </w:p>
    <w:p w14:paraId="1E1CA1D5" w14:textId="55FB7A92" w:rsidR="00C02805" w:rsidRPr="00582687" w:rsidRDefault="00C02805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a. Demand amount is reduced b. Already proceedings of recovery of Government dues is served before disposal of appeal, revision of application or other proceedings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c. Demand amount is enhanced d. Both (a) and (b) </w:t>
      </w:r>
    </w:p>
    <w:p w14:paraId="194D65F3" w14:textId="77777777" w:rsidR="00582687" w:rsidRDefault="00582687" w:rsidP="00582687">
      <w:pPr>
        <w:pBdr>
          <w:bottom w:val="dotted" w:sz="24" w:space="1" w:color="auto"/>
        </w:pBdr>
        <w:spacing w:after="0" w:line="320" w:lineRule="exact"/>
        <w:jc w:val="both"/>
        <w:rPr>
          <w:rFonts w:ascii="Arial" w:hAnsi="Arial" w:cs="Arial"/>
          <w:b/>
          <w:bCs/>
          <w:color w:val="EE0000"/>
        </w:rPr>
      </w:pPr>
    </w:p>
    <w:p w14:paraId="30599EAB" w14:textId="77777777" w:rsidR="00582687" w:rsidRDefault="00582687" w:rsidP="00582687">
      <w:pPr>
        <w:spacing w:after="0" w:line="320" w:lineRule="exact"/>
        <w:jc w:val="center"/>
        <w:rPr>
          <w:rFonts w:ascii="Arial" w:hAnsi="Arial" w:cs="Arial"/>
          <w:b/>
          <w:bCs/>
          <w:color w:val="EE0000"/>
        </w:rPr>
      </w:pPr>
    </w:p>
    <w:p w14:paraId="7173243A" w14:textId="4B13BB64" w:rsidR="00582687" w:rsidRPr="00582687" w:rsidRDefault="00582687" w:rsidP="00582687">
      <w:pPr>
        <w:pBdr>
          <w:bottom w:val="single" w:sz="4" w:space="1" w:color="auto"/>
        </w:pBdr>
        <w:spacing w:after="0" w:line="320" w:lineRule="exact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Answer to </w:t>
      </w:r>
      <w:r w:rsidRPr="00582687">
        <w:rPr>
          <w:rFonts w:ascii="Arial" w:hAnsi="Arial" w:cs="Arial"/>
          <w:b/>
          <w:bCs/>
          <w:color w:val="000000" w:themeColor="text1"/>
          <w:sz w:val="23"/>
          <w:szCs w:val="23"/>
        </w:rPr>
        <w:t>MCQ – Demand and Recovery under GST Laws</w:t>
      </w:r>
    </w:p>
    <w:p w14:paraId="6941C173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E50066A" w14:textId="59909C85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(1) </w:t>
      </w:r>
      <w:proofErr w:type="spellStart"/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>c.Monetary</w:t>
      </w:r>
      <w:proofErr w:type="spellEnd"/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limit of the tax involved d. Type of tax involved </w:t>
      </w:r>
    </w:p>
    <w:p w14:paraId="7F12CB9F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0B53AA96" w14:textId="0D36BE76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(2) c. 3 years  </w:t>
      </w:r>
    </w:p>
    <w:p w14:paraId="23C3E435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5333EB3C" w14:textId="741C862F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(3) d. Not exceeding Rupees 20 lakhs </w:t>
      </w:r>
    </w:p>
    <w:p w14:paraId="09D4354B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6D7E8048" w14:textId="52AA09D2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>(4) c. 18</w:t>
      </w:r>
      <w:proofErr w:type="gramStart"/>
      <w:r w:rsidRPr="00582687">
        <w:rPr>
          <w:rFonts w:ascii="Arial" w:hAnsi="Arial" w:cs="Arial"/>
          <w:color w:val="000000" w:themeColor="text1"/>
          <w:sz w:val="23"/>
          <w:szCs w:val="23"/>
        </w:rPr>
        <w:t>% ,</w:t>
      </w:r>
      <w:proofErr w:type="gramEnd"/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290C493D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73E4A6BF" w14:textId="6BEC994F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(5) . d. 25 % </w:t>
      </w:r>
    </w:p>
    <w:p w14:paraId="25DDDC5C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0CE55074" w14:textId="5A97304E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(6) . d. 3 months </w:t>
      </w:r>
    </w:p>
    <w:p w14:paraId="544C32CE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34AE88B0" w14:textId="71372F53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(7)a) Reduced to the extent of relief </w:t>
      </w:r>
    </w:p>
    <w:p w14:paraId="26BE8B60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492CCFD0" w14:textId="4590F23B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(8)  d. 24 </w:t>
      </w:r>
    </w:p>
    <w:p w14:paraId="572D3002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04048CFF" w14:textId="1B37ABEA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(9) d. All of the above </w:t>
      </w:r>
    </w:p>
    <w:p w14:paraId="3DA1B6FA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062FF4BC" w14:textId="0ED49601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color w:val="000000" w:themeColor="text1"/>
          <w:sz w:val="23"/>
          <w:szCs w:val="23"/>
        </w:rPr>
        <w:t xml:space="preserve">(10) d. Both (a) and (b) </w:t>
      </w:r>
    </w:p>
    <w:p w14:paraId="78CC7948" w14:textId="77777777" w:rsidR="00582687" w:rsidRPr="00582687" w:rsidRDefault="00582687" w:rsidP="00582687">
      <w:pPr>
        <w:spacing w:after="0" w:line="320" w:lineRule="exact"/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5755A6B5" w14:textId="77777777" w:rsidR="00582687" w:rsidRPr="00582687" w:rsidRDefault="00582687" w:rsidP="00582687">
      <w:pPr>
        <w:spacing w:after="0" w:line="320" w:lineRule="exact"/>
        <w:jc w:val="center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582687">
        <w:rPr>
          <w:rFonts w:ascii="Arial" w:hAnsi="Arial" w:cs="Arial"/>
          <w:b/>
          <w:bCs/>
          <w:color w:val="000000" w:themeColor="text1"/>
          <w:sz w:val="23"/>
          <w:szCs w:val="23"/>
        </w:rPr>
        <w:t>********************</w:t>
      </w:r>
    </w:p>
    <w:p w14:paraId="2E672616" w14:textId="77777777" w:rsidR="00582687" w:rsidRDefault="00582687" w:rsidP="00582687">
      <w:pPr>
        <w:spacing w:after="0" w:line="320" w:lineRule="exact"/>
        <w:jc w:val="center"/>
        <w:rPr>
          <w:rFonts w:ascii="Arial" w:hAnsi="Arial" w:cs="Arial"/>
          <w:b/>
          <w:bCs/>
          <w:color w:val="EE0000"/>
        </w:rPr>
      </w:pPr>
    </w:p>
    <w:p w14:paraId="43821BD9" w14:textId="77777777" w:rsidR="00582687" w:rsidRPr="00582687" w:rsidRDefault="00582687" w:rsidP="00582687">
      <w:pPr>
        <w:spacing w:after="0" w:line="320" w:lineRule="exact"/>
        <w:jc w:val="center"/>
        <w:rPr>
          <w:rFonts w:ascii="Arial" w:hAnsi="Arial" w:cs="Arial"/>
          <w:b/>
          <w:bCs/>
          <w:color w:val="EE0000"/>
        </w:rPr>
      </w:pPr>
    </w:p>
    <w:sectPr w:rsidR="00582687" w:rsidRPr="00582687" w:rsidSect="00582687">
      <w:pgSz w:w="11906" w:h="16838" w:code="9"/>
      <w:pgMar w:top="907" w:right="1077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805"/>
    <w:rsid w:val="000009BA"/>
    <w:rsid w:val="00582687"/>
    <w:rsid w:val="00632C6C"/>
    <w:rsid w:val="00C02805"/>
    <w:rsid w:val="00C03DC2"/>
    <w:rsid w:val="00E0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F0FD"/>
  <w15:chartTrackingRefBased/>
  <w15:docId w15:val="{FC5C060A-FB66-43BE-B84D-5B955BC6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8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8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80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80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8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8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8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8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8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8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80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80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niranjan swain</dc:creator>
  <cp:keywords/>
  <dc:description/>
  <cp:lastModifiedBy>niranjan swain</cp:lastModifiedBy>
  <cp:revision>1</cp:revision>
  <dcterms:created xsi:type="dcterms:W3CDTF">2025-08-30T01:37:00Z</dcterms:created>
  <dcterms:modified xsi:type="dcterms:W3CDTF">2025-08-30T01:58:00Z</dcterms:modified>
</cp:coreProperties>
</file>