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0DB" w:rsidRDefault="009C4540">
      <w:pPr>
        <w:rPr>
          <w:rFonts w:ascii="Times New Roman" w:hAnsi="Times New Roman" w:cs="Times New Roman"/>
          <w:sz w:val="32"/>
          <w:szCs w:val="32"/>
          <w:lang w:val="en-US"/>
        </w:rPr>
      </w:pPr>
      <w:r>
        <w:rPr>
          <w:rFonts w:ascii="Calibri Light" w:hAnsi="Calibri Light" w:cs="Calibri Light"/>
          <w:color w:val="000000"/>
          <w:kern w:val="24"/>
          <w:sz w:val="32"/>
          <w:szCs w:val="32"/>
          <w:lang w:val="en-US"/>
        </w:rPr>
        <w:t>Date: 26.11.2023 (Sunday</w:t>
      </w:r>
      <w:proofErr w:type="gramStart"/>
      <w:r>
        <w:rPr>
          <w:rFonts w:ascii="Calibri Light" w:hAnsi="Calibri Light" w:cs="Calibri Light"/>
          <w:color w:val="000000"/>
          <w:kern w:val="24"/>
          <w:sz w:val="32"/>
          <w:szCs w:val="32"/>
          <w:lang w:val="en-US"/>
        </w:rPr>
        <w:t>)</w:t>
      </w:r>
      <w:proofErr w:type="gramEnd"/>
      <w:r>
        <w:rPr>
          <w:rFonts w:ascii="Calibri Light" w:hAnsi="Calibri Light" w:cs="Calibri Light"/>
          <w:color w:val="000000"/>
          <w:kern w:val="24"/>
          <w:sz w:val="32"/>
          <w:szCs w:val="32"/>
          <w:lang w:val="en-US"/>
        </w:rPr>
        <w:br/>
        <w:t>Topic: Sec 194K, 194LB, 194LBA, 194LBB, 194LBC,194LC and 194LD</w:t>
      </w:r>
      <w:r>
        <w:rPr>
          <w:rFonts w:ascii="Calibri Light" w:hAnsi="Calibri Light" w:cs="Calibri Light"/>
          <w:color w:val="000000"/>
          <w:kern w:val="24"/>
          <w:sz w:val="32"/>
          <w:szCs w:val="32"/>
          <w:lang w:val="en-US"/>
        </w:rPr>
        <w:br/>
        <w:t>Timing: 9.00 AM to 11.00 AM</w:t>
      </w:r>
    </w:p>
    <w:p w:rsidR="009C4540" w:rsidRDefault="009C4540">
      <w:pPr>
        <w:rPr>
          <w:rFonts w:ascii="Times New Roman" w:hAnsi="Times New Roman" w:cs="Times New Roman"/>
          <w:sz w:val="32"/>
          <w:szCs w:val="32"/>
          <w:lang w:val="en-US"/>
        </w:rPr>
      </w:pPr>
      <w:r>
        <w:rPr>
          <w:rFonts w:ascii="Times New Roman" w:hAnsi="Times New Roman" w:cs="Times New Roman"/>
          <w:sz w:val="32"/>
          <w:szCs w:val="32"/>
          <w:lang w:val="en-US"/>
        </w:rPr>
        <w:t>READING MATERIAL</w:t>
      </w:r>
    </w:p>
    <w:p w:rsidR="009C4540" w:rsidRDefault="009C4540">
      <w:pPr>
        <w:rPr>
          <w:rFonts w:ascii="Times New Roman" w:hAnsi="Times New Roman" w:cs="Times New Roman"/>
          <w:sz w:val="32"/>
          <w:szCs w:val="32"/>
          <w:lang w:val="en-US"/>
        </w:rPr>
      </w:pPr>
    </w:p>
    <w:p w:rsidR="009C4540" w:rsidRPr="00BF23B2" w:rsidRDefault="009C4540">
      <w:pPr>
        <w:rPr>
          <w:rFonts w:ascii="Times New Roman" w:hAnsi="Times New Roman" w:cs="Times New Roman"/>
          <w:b/>
          <w:sz w:val="40"/>
          <w:szCs w:val="40"/>
          <w:lang w:val="en-US"/>
        </w:rPr>
      </w:pPr>
      <w:r w:rsidRPr="00BF23B2">
        <w:rPr>
          <w:rFonts w:ascii="Times New Roman" w:hAnsi="Times New Roman" w:cs="Times New Roman"/>
          <w:b/>
          <w:sz w:val="40"/>
          <w:szCs w:val="40"/>
          <w:lang w:val="en-US"/>
        </w:rPr>
        <w:t>Sec.194K</w:t>
      </w:r>
    </w:p>
    <w:p w:rsidR="009C4540" w:rsidRPr="00A70807" w:rsidRDefault="009C4540">
      <w:pPr>
        <w:rPr>
          <w:rFonts w:ascii="Times New Roman" w:hAnsi="Times New Roman" w:cs="Times New Roman"/>
          <w:sz w:val="40"/>
          <w:szCs w:val="40"/>
        </w:rPr>
      </w:pPr>
      <w:r w:rsidRPr="00A70807">
        <w:rPr>
          <w:rFonts w:ascii="Times New Roman" w:hAnsi="Times New Roman" w:cs="Times New Roman"/>
          <w:sz w:val="40"/>
          <w:szCs w:val="40"/>
        </w:rPr>
        <w:t>Section 194K of the Income Tax Act, 1961 provides for a deduction of </w:t>
      </w:r>
      <w:hyperlink r:id="rId5" w:history="1">
        <w:r w:rsidRPr="00A70807">
          <w:rPr>
            <w:rStyle w:val="Hyperlink"/>
            <w:rFonts w:ascii="Times New Roman" w:hAnsi="Times New Roman" w:cs="Times New Roman"/>
            <w:sz w:val="40"/>
            <w:szCs w:val="40"/>
          </w:rPr>
          <w:t>TDS</w:t>
        </w:r>
      </w:hyperlink>
      <w:r w:rsidRPr="00A70807">
        <w:rPr>
          <w:rFonts w:ascii="Times New Roman" w:hAnsi="Times New Roman" w:cs="Times New Roman"/>
          <w:sz w:val="40"/>
          <w:szCs w:val="40"/>
        </w:rPr>
        <w:t> at a fixed rate of 10% on dividend income from mutual funds. Hence, the income provider will deduct TDS from the income generated by the mutual fund investor. The investor will receive income from the scheme minus the TDS. The investor or the taxpayer can claim a tax refund of the TDS at the time of filing the </w:t>
      </w:r>
      <w:hyperlink r:id="rId6" w:history="1">
        <w:r w:rsidRPr="00A70807">
          <w:rPr>
            <w:rStyle w:val="Hyperlink"/>
            <w:rFonts w:ascii="Times New Roman" w:hAnsi="Times New Roman" w:cs="Times New Roman"/>
            <w:sz w:val="40"/>
            <w:szCs w:val="40"/>
          </w:rPr>
          <w:t>income tax return</w:t>
        </w:r>
      </w:hyperlink>
      <w:r w:rsidRPr="00A70807">
        <w:rPr>
          <w:rFonts w:ascii="Times New Roman" w:hAnsi="Times New Roman" w:cs="Times New Roman"/>
          <w:sz w:val="40"/>
          <w:szCs w:val="40"/>
        </w:rPr>
        <w:t>.</w:t>
      </w:r>
    </w:p>
    <w:p w:rsidR="009C4540" w:rsidRPr="00A70807" w:rsidRDefault="009C4540" w:rsidP="009C4540">
      <w:pPr>
        <w:rPr>
          <w:rFonts w:ascii="Times New Roman" w:hAnsi="Times New Roman" w:cs="Times New Roman"/>
          <w:sz w:val="40"/>
          <w:szCs w:val="40"/>
        </w:rPr>
      </w:pPr>
    </w:p>
    <w:p w:rsidR="009C4540" w:rsidRPr="00A70807" w:rsidRDefault="009C4540" w:rsidP="009C4540">
      <w:pPr>
        <w:rPr>
          <w:rFonts w:ascii="Times New Roman" w:hAnsi="Times New Roman" w:cs="Times New Roman"/>
          <w:sz w:val="40"/>
          <w:szCs w:val="40"/>
        </w:rPr>
      </w:pPr>
      <w:r w:rsidRPr="00A70807">
        <w:rPr>
          <w:rFonts w:ascii="Times New Roman" w:hAnsi="Times New Roman" w:cs="Times New Roman"/>
          <w:sz w:val="40"/>
          <w:szCs w:val="40"/>
        </w:rPr>
        <w:t>Generally, a person can generate two forms of income by investing in mutual funds and paying </w:t>
      </w:r>
      <w:hyperlink r:id="rId7" w:tgtFrame="_blank" w:history="1">
        <w:r w:rsidRPr="00A70807">
          <w:rPr>
            <w:rStyle w:val="Hyperlink"/>
            <w:rFonts w:ascii="Times New Roman" w:hAnsi="Times New Roman" w:cs="Times New Roman"/>
            <w:sz w:val="40"/>
            <w:szCs w:val="40"/>
          </w:rPr>
          <w:t>tax on mutual funds</w:t>
        </w:r>
      </w:hyperlink>
      <w:r w:rsidRPr="00A70807">
        <w:rPr>
          <w:rFonts w:ascii="Times New Roman" w:hAnsi="Times New Roman" w:cs="Times New Roman"/>
          <w:sz w:val="40"/>
          <w:szCs w:val="40"/>
        </w:rPr>
        <w:t>. The following are those incomes:</w:t>
      </w:r>
    </w:p>
    <w:p w:rsidR="009C4540" w:rsidRPr="00A70807" w:rsidRDefault="009C4540" w:rsidP="009C4540">
      <w:pPr>
        <w:numPr>
          <w:ilvl w:val="0"/>
          <w:numId w:val="1"/>
        </w:numPr>
        <w:rPr>
          <w:rFonts w:ascii="Times New Roman" w:hAnsi="Times New Roman" w:cs="Times New Roman"/>
          <w:sz w:val="40"/>
          <w:szCs w:val="40"/>
        </w:rPr>
      </w:pPr>
      <w:r w:rsidRPr="00A70807">
        <w:rPr>
          <w:rFonts w:ascii="Times New Roman" w:hAnsi="Times New Roman" w:cs="Times New Roman"/>
          <w:sz w:val="40"/>
          <w:szCs w:val="40"/>
        </w:rPr>
        <w:t>Dividend Income</w:t>
      </w:r>
    </w:p>
    <w:p w:rsidR="009C4540" w:rsidRPr="00A70807" w:rsidRDefault="009C4540" w:rsidP="009C4540">
      <w:pPr>
        <w:numPr>
          <w:ilvl w:val="0"/>
          <w:numId w:val="1"/>
        </w:numPr>
        <w:rPr>
          <w:rFonts w:ascii="Times New Roman" w:hAnsi="Times New Roman" w:cs="Times New Roman"/>
          <w:sz w:val="40"/>
          <w:szCs w:val="40"/>
        </w:rPr>
      </w:pPr>
      <w:r w:rsidRPr="00A70807">
        <w:rPr>
          <w:rFonts w:ascii="Times New Roman" w:hAnsi="Times New Roman" w:cs="Times New Roman"/>
          <w:sz w:val="40"/>
          <w:szCs w:val="40"/>
        </w:rPr>
        <w:t>Capital Gains Income</w:t>
      </w:r>
    </w:p>
    <w:p w:rsidR="009C4540" w:rsidRPr="00A70807" w:rsidRDefault="009C4540" w:rsidP="009C4540">
      <w:pPr>
        <w:rPr>
          <w:rFonts w:ascii="Times New Roman" w:hAnsi="Times New Roman" w:cs="Times New Roman"/>
          <w:sz w:val="40"/>
          <w:szCs w:val="40"/>
        </w:rPr>
      </w:pPr>
      <w:r w:rsidRPr="00A70807">
        <w:rPr>
          <w:rFonts w:ascii="Times New Roman" w:hAnsi="Times New Roman" w:cs="Times New Roman"/>
          <w:sz w:val="40"/>
          <w:szCs w:val="40"/>
        </w:rPr>
        <w:t>Let’s talk about both the incomes one by one:</w:t>
      </w:r>
    </w:p>
    <w:p w:rsidR="00E55978" w:rsidRDefault="009C4540" w:rsidP="009C4540">
      <w:pPr>
        <w:numPr>
          <w:ilvl w:val="0"/>
          <w:numId w:val="2"/>
        </w:numPr>
        <w:rPr>
          <w:rFonts w:ascii="Times New Roman" w:hAnsi="Times New Roman" w:cs="Times New Roman"/>
          <w:sz w:val="40"/>
          <w:szCs w:val="40"/>
        </w:rPr>
      </w:pPr>
      <w:r w:rsidRPr="00A70807">
        <w:rPr>
          <w:rFonts w:ascii="Times New Roman" w:hAnsi="Times New Roman" w:cs="Times New Roman"/>
          <w:b/>
          <w:bCs/>
          <w:sz w:val="40"/>
          <w:szCs w:val="40"/>
        </w:rPr>
        <w:t>Dividend Income-</w:t>
      </w:r>
      <w:r w:rsidRPr="00A70807">
        <w:rPr>
          <w:rFonts w:ascii="Times New Roman" w:hAnsi="Times New Roman" w:cs="Times New Roman"/>
          <w:sz w:val="40"/>
          <w:szCs w:val="40"/>
        </w:rPr>
        <w:t> The existing income tax law taxes the dividends (</w:t>
      </w:r>
      <w:hyperlink r:id="rId8" w:history="1">
        <w:r w:rsidRPr="00A70807">
          <w:rPr>
            <w:rStyle w:val="Hyperlink"/>
            <w:rFonts w:ascii="Times New Roman" w:hAnsi="Times New Roman" w:cs="Times New Roman"/>
            <w:sz w:val="40"/>
            <w:szCs w:val="40"/>
          </w:rPr>
          <w:t>Dividend Distribution Tax</w:t>
        </w:r>
      </w:hyperlink>
      <w:r w:rsidRPr="00A70807">
        <w:rPr>
          <w:rFonts w:ascii="Times New Roman" w:hAnsi="Times New Roman" w:cs="Times New Roman"/>
          <w:sz w:val="40"/>
          <w:szCs w:val="40"/>
        </w:rPr>
        <w:t>) paid on behalf of investors by fund houses (asset management companies). According to Budget 2020, DDT has been discontinued. </w:t>
      </w:r>
      <w:hyperlink r:id="rId9" w:history="1">
        <w:r w:rsidRPr="00A70807">
          <w:rPr>
            <w:rStyle w:val="Hyperlink"/>
            <w:rFonts w:ascii="Times New Roman" w:hAnsi="Times New Roman" w:cs="Times New Roman"/>
            <w:sz w:val="40"/>
            <w:szCs w:val="40"/>
          </w:rPr>
          <w:t>Dividend income</w:t>
        </w:r>
      </w:hyperlink>
      <w:r w:rsidRPr="00A70807">
        <w:rPr>
          <w:rFonts w:ascii="Times New Roman" w:hAnsi="Times New Roman" w:cs="Times New Roman"/>
          <w:sz w:val="40"/>
          <w:szCs w:val="40"/>
        </w:rPr>
        <w:t xml:space="preserve"> will be taxable in the hands of the receiver/investor beginning in FY 2020-21. </w:t>
      </w:r>
    </w:p>
    <w:p w:rsidR="00E55978" w:rsidRDefault="00E55978" w:rsidP="00E55978">
      <w:pPr>
        <w:ind w:left="720"/>
        <w:rPr>
          <w:rFonts w:ascii="Times New Roman" w:hAnsi="Times New Roman" w:cs="Times New Roman"/>
          <w:b/>
          <w:bCs/>
          <w:sz w:val="40"/>
          <w:szCs w:val="40"/>
        </w:rPr>
      </w:pPr>
    </w:p>
    <w:p w:rsidR="00E55978" w:rsidRDefault="00E55978" w:rsidP="00E55978">
      <w:pPr>
        <w:ind w:left="720"/>
        <w:rPr>
          <w:rFonts w:ascii="Times New Roman" w:hAnsi="Times New Roman" w:cs="Times New Roman"/>
          <w:b/>
          <w:bCs/>
          <w:sz w:val="40"/>
          <w:szCs w:val="40"/>
        </w:rPr>
      </w:pPr>
    </w:p>
    <w:p w:rsidR="009C4540" w:rsidRPr="00A70807" w:rsidRDefault="009C4540" w:rsidP="00E55978">
      <w:pPr>
        <w:ind w:left="720"/>
        <w:rPr>
          <w:rFonts w:ascii="Times New Roman" w:hAnsi="Times New Roman" w:cs="Times New Roman"/>
          <w:sz w:val="40"/>
          <w:szCs w:val="40"/>
        </w:rPr>
      </w:pPr>
      <w:r w:rsidRPr="00A70807">
        <w:rPr>
          <w:rFonts w:ascii="Times New Roman" w:hAnsi="Times New Roman" w:cs="Times New Roman"/>
          <w:sz w:val="40"/>
          <w:szCs w:val="40"/>
        </w:rPr>
        <w:t xml:space="preserve">However, the new Section 194K of the Finance Act of 2021 compels mutual funds to withhold TDS when issuing dividends to unit holders in excess of </w:t>
      </w:r>
      <w:proofErr w:type="spellStart"/>
      <w:r w:rsidRPr="00A70807">
        <w:rPr>
          <w:rFonts w:ascii="Times New Roman" w:hAnsi="Times New Roman" w:cs="Times New Roman"/>
          <w:sz w:val="40"/>
          <w:szCs w:val="40"/>
        </w:rPr>
        <w:t>Rs</w:t>
      </w:r>
      <w:proofErr w:type="spellEnd"/>
      <w:r w:rsidRPr="00A70807">
        <w:rPr>
          <w:rFonts w:ascii="Times New Roman" w:hAnsi="Times New Roman" w:cs="Times New Roman"/>
          <w:sz w:val="40"/>
          <w:szCs w:val="40"/>
        </w:rPr>
        <w:t xml:space="preserve"> 5,000.</w:t>
      </w:r>
    </w:p>
    <w:p w:rsidR="009C4540" w:rsidRPr="00A70807" w:rsidRDefault="009C4540" w:rsidP="009C4540">
      <w:pPr>
        <w:rPr>
          <w:rFonts w:ascii="Times New Roman" w:hAnsi="Times New Roman" w:cs="Times New Roman"/>
          <w:sz w:val="40"/>
          <w:szCs w:val="40"/>
        </w:rPr>
      </w:pPr>
    </w:p>
    <w:p w:rsidR="009C4540" w:rsidRPr="00A70807" w:rsidRDefault="009C4540" w:rsidP="009C4540">
      <w:pPr>
        <w:rPr>
          <w:rFonts w:ascii="Times New Roman" w:hAnsi="Times New Roman" w:cs="Times New Roman"/>
          <w:sz w:val="40"/>
          <w:szCs w:val="40"/>
        </w:rPr>
      </w:pPr>
    </w:p>
    <w:p w:rsidR="009C4540" w:rsidRDefault="009C4540" w:rsidP="009C4540">
      <w:pPr>
        <w:numPr>
          <w:ilvl w:val="0"/>
          <w:numId w:val="2"/>
        </w:numPr>
        <w:rPr>
          <w:rFonts w:ascii="Times New Roman" w:hAnsi="Times New Roman" w:cs="Times New Roman"/>
          <w:sz w:val="40"/>
          <w:szCs w:val="40"/>
        </w:rPr>
      </w:pPr>
      <w:r w:rsidRPr="00A70807">
        <w:rPr>
          <w:rFonts w:ascii="Times New Roman" w:hAnsi="Times New Roman" w:cs="Times New Roman"/>
          <w:b/>
          <w:bCs/>
          <w:sz w:val="40"/>
          <w:szCs w:val="40"/>
        </w:rPr>
        <w:t>Capital Gains Income- </w:t>
      </w:r>
      <w:r w:rsidRPr="00A70807">
        <w:rPr>
          <w:rFonts w:ascii="Times New Roman" w:hAnsi="Times New Roman" w:cs="Times New Roman"/>
          <w:sz w:val="40"/>
          <w:szCs w:val="40"/>
        </w:rPr>
        <w:t>According to the existing tax laws, </w:t>
      </w:r>
      <w:hyperlink r:id="rId10" w:tgtFrame="_blank" w:history="1">
        <w:r w:rsidRPr="00A70807">
          <w:rPr>
            <w:rStyle w:val="Hyperlink"/>
            <w:rFonts w:ascii="Times New Roman" w:hAnsi="Times New Roman" w:cs="Times New Roman"/>
            <w:sz w:val="40"/>
            <w:szCs w:val="40"/>
          </w:rPr>
          <w:t>capital gains</w:t>
        </w:r>
      </w:hyperlink>
      <w:r w:rsidRPr="00A70807">
        <w:rPr>
          <w:rFonts w:ascii="Times New Roman" w:hAnsi="Times New Roman" w:cs="Times New Roman"/>
          <w:sz w:val="40"/>
          <w:szCs w:val="40"/>
        </w:rPr>
        <w:t xml:space="preserve"> are taxable in the hands of the taxpayer. If long-term capital gains from equity-oriented mutual funds exceed </w:t>
      </w:r>
      <w:proofErr w:type="spellStart"/>
      <w:r w:rsidRPr="00A70807">
        <w:rPr>
          <w:rFonts w:ascii="Times New Roman" w:hAnsi="Times New Roman" w:cs="Times New Roman"/>
          <w:sz w:val="40"/>
          <w:szCs w:val="40"/>
        </w:rPr>
        <w:t>Rs</w:t>
      </w:r>
      <w:proofErr w:type="spellEnd"/>
      <w:r w:rsidRPr="00A70807">
        <w:rPr>
          <w:rFonts w:ascii="Times New Roman" w:hAnsi="Times New Roman" w:cs="Times New Roman"/>
          <w:sz w:val="40"/>
          <w:szCs w:val="40"/>
        </w:rPr>
        <w:t xml:space="preserve"> 1 lakh in a year, the profits will be taxable at a rate of 10%. Short-term capital gains on equity-oriented mutual funds that are subject to STT is taxable at a rate of 15%. However, under the new Section 194K of the Finance Act of 2021, a mutual fund is not required to pay TDS on capital gains deriving from </w:t>
      </w:r>
      <w:proofErr w:type="spellStart"/>
      <w:r w:rsidRPr="00A70807">
        <w:rPr>
          <w:rFonts w:ascii="Times New Roman" w:hAnsi="Times New Roman" w:cs="Times New Roman"/>
          <w:sz w:val="40"/>
          <w:szCs w:val="40"/>
        </w:rPr>
        <w:t>unitholder</w:t>
      </w:r>
      <w:proofErr w:type="spellEnd"/>
      <w:r w:rsidRPr="00A70807">
        <w:rPr>
          <w:rFonts w:ascii="Times New Roman" w:hAnsi="Times New Roman" w:cs="Times New Roman"/>
          <w:sz w:val="40"/>
          <w:szCs w:val="40"/>
        </w:rPr>
        <w:t xml:space="preserve"> redemption.</w:t>
      </w:r>
    </w:p>
    <w:p w:rsidR="00E55978" w:rsidRPr="00A70807" w:rsidRDefault="00E55978" w:rsidP="009C4540">
      <w:pPr>
        <w:numPr>
          <w:ilvl w:val="0"/>
          <w:numId w:val="2"/>
        </w:numPr>
        <w:rPr>
          <w:rFonts w:ascii="Times New Roman" w:hAnsi="Times New Roman" w:cs="Times New Roman"/>
          <w:sz w:val="40"/>
          <w:szCs w:val="40"/>
        </w:rPr>
      </w:pPr>
    </w:p>
    <w:p w:rsidR="009C4540" w:rsidRPr="009C4540" w:rsidRDefault="009C4540" w:rsidP="009C4540">
      <w:pPr>
        <w:pBdr>
          <w:top w:val="single" w:sz="2" w:space="0" w:color="D9D9D9"/>
          <w:left w:val="single" w:sz="2" w:space="0" w:color="D9D9D9"/>
          <w:bottom w:val="single" w:sz="2" w:space="0" w:color="D9D9D9"/>
          <w:right w:val="single" w:sz="2" w:space="0" w:color="D9D9D9"/>
        </w:pBdr>
        <w:spacing w:after="0" w:line="240" w:lineRule="auto"/>
        <w:rPr>
          <w:rFonts w:ascii="Times New Roman" w:eastAsia="Times New Roman" w:hAnsi="Times New Roman" w:cs="Times New Roman"/>
          <w:sz w:val="40"/>
          <w:szCs w:val="40"/>
          <w:lang w:eastAsia="en-IN"/>
        </w:rPr>
      </w:pPr>
      <w:r w:rsidRPr="009C4540">
        <w:rPr>
          <w:rFonts w:ascii="Times New Roman" w:eastAsia="Times New Roman" w:hAnsi="Times New Roman" w:cs="Times New Roman"/>
          <w:sz w:val="40"/>
          <w:szCs w:val="40"/>
          <w:lang w:eastAsia="en-IN"/>
        </w:rPr>
        <w:t>Section 194K allows for a tax deduction at source at 10%. The person responsible for TDS deduction is any person responsible for paying such income to a resident.</w:t>
      </w:r>
    </w:p>
    <w:p w:rsidR="009C4540" w:rsidRPr="009C4540" w:rsidRDefault="009C4540" w:rsidP="009C4540">
      <w:pPr>
        <w:numPr>
          <w:ilvl w:val="0"/>
          <w:numId w:val="3"/>
        </w:numPr>
        <w:pBdr>
          <w:top w:val="single" w:sz="2" w:space="0" w:color="D9D9D9"/>
          <w:left w:val="single" w:sz="2" w:space="0" w:color="D9D9D9"/>
          <w:bottom w:val="single" w:sz="2" w:space="0" w:color="D9D9D9"/>
          <w:right w:val="single" w:sz="2" w:space="0" w:color="D9D9D9"/>
        </w:pBdr>
        <w:spacing w:before="100" w:beforeAutospacing="1" w:after="100" w:afterAutospacing="1" w:line="240" w:lineRule="auto"/>
        <w:ind w:left="0"/>
        <w:rPr>
          <w:rFonts w:ascii="Times New Roman" w:eastAsia="Times New Roman" w:hAnsi="Times New Roman" w:cs="Times New Roman"/>
          <w:color w:val="000000"/>
          <w:sz w:val="40"/>
          <w:szCs w:val="40"/>
          <w:lang w:eastAsia="en-IN"/>
        </w:rPr>
      </w:pPr>
      <w:r w:rsidRPr="009C4540">
        <w:rPr>
          <w:rFonts w:ascii="Times New Roman" w:eastAsia="Times New Roman" w:hAnsi="Times New Roman" w:cs="Times New Roman"/>
          <w:color w:val="000000"/>
          <w:sz w:val="40"/>
          <w:szCs w:val="40"/>
          <w:lang w:eastAsia="en-IN"/>
        </w:rPr>
        <w:t>Mutual fund units as defined in section 10 (23D)</w:t>
      </w:r>
    </w:p>
    <w:p w:rsidR="009C4540" w:rsidRPr="009C4540" w:rsidRDefault="009C4540" w:rsidP="009C4540">
      <w:pPr>
        <w:numPr>
          <w:ilvl w:val="0"/>
          <w:numId w:val="3"/>
        </w:numPr>
        <w:pBdr>
          <w:top w:val="single" w:sz="2" w:space="0" w:color="D9D9D9"/>
          <w:left w:val="single" w:sz="2" w:space="0" w:color="D9D9D9"/>
          <w:bottom w:val="single" w:sz="2" w:space="0" w:color="D9D9D9"/>
          <w:right w:val="single" w:sz="2" w:space="0" w:color="D9D9D9"/>
        </w:pBdr>
        <w:spacing w:before="100" w:beforeAutospacing="1" w:after="100" w:afterAutospacing="1" w:line="240" w:lineRule="auto"/>
        <w:ind w:left="0"/>
        <w:rPr>
          <w:rFonts w:ascii="Times New Roman" w:eastAsia="Times New Roman" w:hAnsi="Times New Roman" w:cs="Times New Roman"/>
          <w:color w:val="000000"/>
          <w:sz w:val="40"/>
          <w:szCs w:val="40"/>
          <w:lang w:eastAsia="en-IN"/>
        </w:rPr>
      </w:pPr>
      <w:r w:rsidRPr="009C4540">
        <w:rPr>
          <w:rFonts w:ascii="Times New Roman" w:eastAsia="Times New Roman" w:hAnsi="Times New Roman" w:cs="Times New Roman"/>
          <w:color w:val="000000"/>
          <w:sz w:val="40"/>
          <w:szCs w:val="40"/>
          <w:lang w:eastAsia="en-IN"/>
        </w:rPr>
        <w:t>Units from the specified undertaking’s administrator </w:t>
      </w:r>
    </w:p>
    <w:p w:rsidR="009C4540" w:rsidRPr="009C4540" w:rsidRDefault="009C4540" w:rsidP="009C4540">
      <w:pPr>
        <w:numPr>
          <w:ilvl w:val="0"/>
          <w:numId w:val="3"/>
        </w:numPr>
        <w:pBdr>
          <w:top w:val="single" w:sz="2" w:space="0" w:color="D9D9D9"/>
          <w:left w:val="single" w:sz="2" w:space="0" w:color="D9D9D9"/>
          <w:bottom w:val="single" w:sz="2" w:space="0" w:color="D9D9D9"/>
          <w:right w:val="single" w:sz="2" w:space="0" w:color="D9D9D9"/>
        </w:pBdr>
        <w:spacing w:before="100" w:beforeAutospacing="1" w:after="100" w:afterAutospacing="1" w:line="240" w:lineRule="auto"/>
        <w:ind w:left="0"/>
        <w:rPr>
          <w:rFonts w:ascii="Times New Roman" w:eastAsia="Times New Roman" w:hAnsi="Times New Roman" w:cs="Times New Roman"/>
          <w:color w:val="000000"/>
          <w:sz w:val="40"/>
          <w:szCs w:val="40"/>
          <w:lang w:eastAsia="en-IN"/>
        </w:rPr>
      </w:pPr>
      <w:r w:rsidRPr="009C4540">
        <w:rPr>
          <w:rFonts w:ascii="Times New Roman" w:eastAsia="Times New Roman" w:hAnsi="Times New Roman" w:cs="Times New Roman"/>
          <w:color w:val="000000"/>
          <w:sz w:val="40"/>
          <w:szCs w:val="40"/>
          <w:lang w:eastAsia="en-IN"/>
        </w:rPr>
        <w:t>Units from the specified enterprise.</w:t>
      </w:r>
    </w:p>
    <w:p w:rsidR="009C4540" w:rsidRPr="009C4540" w:rsidRDefault="009C4540" w:rsidP="009C4540">
      <w:pPr>
        <w:pBdr>
          <w:top w:val="single" w:sz="2" w:space="0" w:color="D9D9D9"/>
          <w:left w:val="single" w:sz="2" w:space="0" w:color="D9D9D9"/>
          <w:bottom w:val="single" w:sz="2" w:space="0" w:color="D9D9D9"/>
          <w:right w:val="single" w:sz="2" w:space="0" w:color="D9D9D9"/>
        </w:pBdr>
        <w:spacing w:after="0" w:line="240" w:lineRule="auto"/>
        <w:rPr>
          <w:rFonts w:ascii="Times New Roman" w:eastAsia="Times New Roman" w:hAnsi="Times New Roman" w:cs="Times New Roman"/>
          <w:sz w:val="40"/>
          <w:szCs w:val="40"/>
          <w:lang w:eastAsia="en-IN"/>
        </w:rPr>
      </w:pPr>
      <w:r w:rsidRPr="009C4540">
        <w:rPr>
          <w:rFonts w:ascii="Times New Roman" w:eastAsia="Times New Roman" w:hAnsi="Times New Roman" w:cs="Times New Roman"/>
          <w:sz w:val="40"/>
          <w:szCs w:val="40"/>
          <w:lang w:eastAsia="en-IN"/>
        </w:rPr>
        <w:lastRenderedPageBreak/>
        <w:t>The deduction must be made either when the money is credited to the payee’s account or when it is paid by any method, whichever comes first.</w:t>
      </w:r>
    </w:p>
    <w:p w:rsidR="009C4540" w:rsidRPr="00A70807" w:rsidRDefault="009C4540">
      <w:pPr>
        <w:rPr>
          <w:rFonts w:ascii="Times New Roman" w:hAnsi="Times New Roman" w:cs="Times New Roman"/>
          <w:sz w:val="40"/>
          <w:szCs w:val="40"/>
          <w:lang w:val="en-US"/>
        </w:rPr>
      </w:pPr>
    </w:p>
    <w:p w:rsidR="00BF23B2" w:rsidRPr="00A70807" w:rsidRDefault="00BF23B2">
      <w:pPr>
        <w:rPr>
          <w:rFonts w:ascii="Times New Roman" w:hAnsi="Times New Roman" w:cs="Times New Roman"/>
          <w:b/>
          <w:sz w:val="40"/>
          <w:szCs w:val="40"/>
          <w:lang w:val="en-US"/>
        </w:rPr>
      </w:pPr>
      <w:r w:rsidRPr="00A70807">
        <w:rPr>
          <w:rFonts w:ascii="Times New Roman" w:hAnsi="Times New Roman" w:cs="Times New Roman"/>
          <w:b/>
          <w:sz w:val="40"/>
          <w:szCs w:val="40"/>
          <w:lang w:val="en-US"/>
        </w:rPr>
        <w:t>Sec.194LB</w:t>
      </w:r>
    </w:p>
    <w:p w:rsidR="00BF23B2" w:rsidRPr="00A70807" w:rsidRDefault="00BF23B2">
      <w:pPr>
        <w:rPr>
          <w:rFonts w:ascii="Times New Roman" w:hAnsi="Times New Roman" w:cs="Times New Roman"/>
          <w:sz w:val="40"/>
          <w:szCs w:val="40"/>
          <w:lang w:val="en-US"/>
        </w:rPr>
      </w:pPr>
    </w:p>
    <w:p w:rsidR="00BF23B2" w:rsidRPr="00A70807" w:rsidRDefault="00BF23B2" w:rsidP="00BF23B2">
      <w:pPr>
        <w:rPr>
          <w:rFonts w:ascii="Times New Roman" w:hAnsi="Times New Roman" w:cs="Times New Roman"/>
          <w:sz w:val="40"/>
          <w:szCs w:val="40"/>
        </w:rPr>
      </w:pPr>
      <w:r w:rsidRPr="00A70807">
        <w:rPr>
          <w:rFonts w:ascii="Times New Roman" w:hAnsi="Times New Roman" w:cs="Times New Roman"/>
          <w:sz w:val="40"/>
          <w:szCs w:val="40"/>
        </w:rPr>
        <w:t>194LB. </w:t>
      </w:r>
      <w:r w:rsidRPr="00A70807">
        <w:rPr>
          <w:rFonts w:ascii="Times New Roman" w:hAnsi="Times New Roman" w:cs="Times New Roman"/>
          <w:i/>
          <w:iCs/>
          <w:sz w:val="40"/>
          <w:szCs w:val="40"/>
        </w:rPr>
        <w:t>Income by way of interest from infrastructure debt fund.—</w:t>
      </w:r>
      <w:r w:rsidRPr="00A70807">
        <w:rPr>
          <w:rFonts w:ascii="Times New Roman" w:hAnsi="Times New Roman" w:cs="Times New Roman"/>
          <w:sz w:val="40"/>
          <w:szCs w:val="40"/>
        </w:rPr>
        <w:t>Where any income by way of interest is payable to a non-resident, not being a company, or to a foreign company, by an infrastructure debt fund referred to in clause (</w:t>
      </w:r>
      <w:r w:rsidRPr="00A70807">
        <w:rPr>
          <w:rFonts w:ascii="Times New Roman" w:hAnsi="Times New Roman" w:cs="Times New Roman"/>
          <w:i/>
          <w:iCs/>
          <w:sz w:val="40"/>
          <w:szCs w:val="40"/>
        </w:rPr>
        <w:t>47</w:t>
      </w:r>
      <w:r w:rsidRPr="00A70807">
        <w:rPr>
          <w:rFonts w:ascii="Times New Roman" w:hAnsi="Times New Roman" w:cs="Times New Roman"/>
          <w:sz w:val="40"/>
          <w:szCs w:val="40"/>
        </w:rPr>
        <w:t>) of section 10, the person responsible for making the payment shall, at the time of credit of such income to the account of the payee or at the time of payment thereof in cash or by issue of a cheque or draft or by any other mode, whichever is earlier, deduct income-tax thereon at the rate of five per cent.".</w:t>
      </w:r>
    </w:p>
    <w:p w:rsidR="00BF23B2" w:rsidRPr="00A70807" w:rsidRDefault="00BF23B2" w:rsidP="00BF23B2">
      <w:pPr>
        <w:rPr>
          <w:rFonts w:ascii="Times New Roman" w:hAnsi="Times New Roman" w:cs="Times New Roman"/>
          <w:sz w:val="40"/>
          <w:szCs w:val="40"/>
        </w:rPr>
      </w:pPr>
      <w:r w:rsidRPr="00A70807">
        <w:rPr>
          <w:rFonts w:ascii="Times New Roman" w:hAnsi="Times New Roman" w:cs="Times New Roman"/>
          <w:sz w:val="40"/>
          <w:szCs w:val="40"/>
        </w:rPr>
        <w:t>  </w:t>
      </w:r>
    </w:p>
    <w:p w:rsidR="00B23CC6" w:rsidRPr="00A70807" w:rsidRDefault="00B23CC6" w:rsidP="00B23CC6">
      <w:pPr>
        <w:rPr>
          <w:rFonts w:ascii="Times New Roman" w:hAnsi="Times New Roman" w:cs="Times New Roman"/>
          <w:b/>
          <w:sz w:val="40"/>
          <w:szCs w:val="40"/>
        </w:rPr>
      </w:pPr>
      <w:r w:rsidRPr="00A70807">
        <w:rPr>
          <w:rFonts w:ascii="Times New Roman" w:hAnsi="Times New Roman" w:cs="Times New Roman"/>
          <w:sz w:val="40"/>
          <w:szCs w:val="40"/>
        </w:rPr>
        <w:t>Conditions under which the provisions of section 194LB of the Income Tax Act, 1961 attracts – If the following conditions are satisfied, then, the payer would be liable to deduct TDS – The interest income is paid by an infrastructure debt fund referred to in section 10 (47); and The interest income is paid to a non-resident (not being a company) or to a foreign company.</w:t>
      </w:r>
      <w:r w:rsidRPr="00A70807">
        <w:rPr>
          <w:rFonts w:ascii="Times New Roman" w:hAnsi="Times New Roman" w:cs="Times New Roman"/>
          <w:sz w:val="40"/>
          <w:szCs w:val="40"/>
        </w:rPr>
        <w:br/>
      </w:r>
      <w:r w:rsidRPr="00A70807">
        <w:rPr>
          <w:rFonts w:ascii="Times New Roman" w:hAnsi="Times New Roman" w:cs="Times New Roman"/>
          <w:b/>
          <w:sz w:val="40"/>
          <w:szCs w:val="40"/>
        </w:rPr>
        <w:t>Section 194LBA: TDS on Certain Income from Units of a Business Trust</w:t>
      </w:r>
    </w:p>
    <w:p w:rsidR="00B23CC6" w:rsidRDefault="00B23CC6" w:rsidP="00B23CC6">
      <w:pPr>
        <w:rPr>
          <w:rFonts w:ascii="Times New Roman" w:hAnsi="Times New Roman" w:cs="Times New Roman"/>
          <w:b/>
          <w:sz w:val="40"/>
          <w:szCs w:val="40"/>
        </w:rPr>
      </w:pPr>
    </w:p>
    <w:p w:rsidR="00E55978" w:rsidRDefault="00E55978" w:rsidP="00B23CC6">
      <w:pPr>
        <w:rPr>
          <w:rFonts w:ascii="Times New Roman" w:hAnsi="Times New Roman" w:cs="Times New Roman"/>
          <w:b/>
          <w:sz w:val="40"/>
          <w:szCs w:val="40"/>
        </w:rPr>
      </w:pPr>
    </w:p>
    <w:p w:rsidR="00E55978" w:rsidRPr="00A70807" w:rsidRDefault="00E55978" w:rsidP="00B23CC6">
      <w:pPr>
        <w:rPr>
          <w:rFonts w:ascii="Times New Roman" w:hAnsi="Times New Roman" w:cs="Times New Roman"/>
          <w:b/>
          <w:sz w:val="40"/>
          <w:szCs w:val="40"/>
        </w:rPr>
      </w:pPr>
    </w:p>
    <w:p w:rsidR="00B23CC6" w:rsidRPr="0089631A" w:rsidRDefault="0089631A" w:rsidP="00B23CC6">
      <w:pPr>
        <w:rPr>
          <w:rFonts w:ascii="Times New Roman" w:hAnsi="Times New Roman" w:cs="Times New Roman"/>
          <w:sz w:val="48"/>
          <w:szCs w:val="48"/>
        </w:rPr>
      </w:pPr>
      <w:r w:rsidRPr="0089631A">
        <w:rPr>
          <w:rFonts w:ascii="Times New Roman" w:hAnsi="Times New Roman" w:cs="Times New Roman"/>
          <w:b/>
          <w:bCs/>
          <w:sz w:val="48"/>
          <w:szCs w:val="48"/>
        </w:rPr>
        <w:t>TDS u/s 194LBA</w:t>
      </w:r>
    </w:p>
    <w:p w:rsidR="00B23CC6" w:rsidRPr="00A70807" w:rsidRDefault="00B23CC6" w:rsidP="00B23CC6">
      <w:pPr>
        <w:rPr>
          <w:rFonts w:ascii="Times New Roman" w:hAnsi="Times New Roman" w:cs="Times New Roman"/>
          <w:sz w:val="40"/>
          <w:szCs w:val="40"/>
        </w:rPr>
      </w:pPr>
      <w:r w:rsidRPr="00A70807">
        <w:rPr>
          <w:rFonts w:ascii="Times New Roman" w:hAnsi="Times New Roman" w:cs="Times New Roman"/>
          <w:sz w:val="40"/>
          <w:szCs w:val="40"/>
        </w:rPr>
        <w:t xml:space="preserve">Any person who makes payment of income [as per section 115UA] which is payable by a business trust to its </w:t>
      </w:r>
      <w:proofErr w:type="spellStart"/>
      <w:r w:rsidRPr="00A70807">
        <w:rPr>
          <w:rFonts w:ascii="Times New Roman" w:hAnsi="Times New Roman" w:cs="Times New Roman"/>
          <w:sz w:val="40"/>
          <w:szCs w:val="40"/>
        </w:rPr>
        <w:t>unitholder</w:t>
      </w:r>
      <w:proofErr w:type="spellEnd"/>
      <w:r w:rsidRPr="00A70807">
        <w:rPr>
          <w:rFonts w:ascii="Times New Roman" w:hAnsi="Times New Roman" w:cs="Times New Roman"/>
          <w:sz w:val="40"/>
          <w:szCs w:val="40"/>
        </w:rPr>
        <w:t xml:space="preserve"> is required to deduct tax at source. Such unit holder can be a resident, non-resident (but not a company).</w:t>
      </w:r>
    </w:p>
    <w:p w:rsidR="00B23CC6" w:rsidRPr="00A70807" w:rsidRDefault="00B23CC6" w:rsidP="00B23CC6">
      <w:pPr>
        <w:rPr>
          <w:rFonts w:ascii="Times New Roman" w:hAnsi="Times New Roman" w:cs="Times New Roman"/>
          <w:sz w:val="40"/>
          <w:szCs w:val="40"/>
        </w:rPr>
      </w:pPr>
      <w:r w:rsidRPr="00A70807">
        <w:rPr>
          <w:rFonts w:ascii="Times New Roman" w:hAnsi="Times New Roman" w:cs="Times New Roman"/>
          <w:b/>
          <w:bCs/>
          <w:sz w:val="40"/>
          <w:szCs w:val="40"/>
        </w:rPr>
        <w:t>What is the rate &amp; time of tax deduction u/s 194LBA?</w:t>
      </w:r>
    </w:p>
    <w:p w:rsidR="00B23CC6" w:rsidRPr="00A70807" w:rsidRDefault="00B23CC6" w:rsidP="00B23CC6">
      <w:pPr>
        <w:rPr>
          <w:rFonts w:ascii="Times New Roman" w:hAnsi="Times New Roman" w:cs="Times New Roman"/>
          <w:sz w:val="40"/>
          <w:szCs w:val="40"/>
        </w:rPr>
      </w:pPr>
      <w:r w:rsidRPr="00A70807">
        <w:rPr>
          <w:rFonts w:ascii="Times New Roman" w:hAnsi="Times New Roman" w:cs="Times New Roman"/>
          <w:sz w:val="40"/>
          <w:szCs w:val="40"/>
        </w:rPr>
        <w:t>The rate of tax u/s 194LBA is 10% (if the payee is resident) and 5% (if the payee is non-resident).</w:t>
      </w:r>
      <w:r w:rsidRPr="00A70807">
        <w:rPr>
          <w:rFonts w:ascii="Times New Roman" w:hAnsi="Times New Roman" w:cs="Times New Roman"/>
          <w:sz w:val="40"/>
          <w:szCs w:val="40"/>
        </w:rPr>
        <w:br/>
        <w:t>The time of deduction is earlier of, the credit of income to the account of the payee (receiver) or actual payment (in cash, cheque, draft or another mode).</w:t>
      </w:r>
    </w:p>
    <w:p w:rsidR="00B23CC6" w:rsidRPr="0089631A" w:rsidRDefault="00B23CC6" w:rsidP="00B23CC6">
      <w:pPr>
        <w:rPr>
          <w:rFonts w:ascii="Times New Roman" w:hAnsi="Times New Roman" w:cs="Times New Roman"/>
          <w:b/>
          <w:sz w:val="48"/>
          <w:szCs w:val="48"/>
        </w:rPr>
      </w:pPr>
      <w:r w:rsidRPr="00A70807">
        <w:rPr>
          <w:rFonts w:ascii="Times New Roman" w:hAnsi="Times New Roman" w:cs="Times New Roman"/>
          <w:sz w:val="40"/>
          <w:szCs w:val="40"/>
        </w:rPr>
        <w:br/>
      </w:r>
      <w:r w:rsidRPr="0089631A">
        <w:rPr>
          <w:rFonts w:ascii="Times New Roman" w:hAnsi="Times New Roman" w:cs="Times New Roman"/>
          <w:b/>
          <w:sz w:val="48"/>
          <w:szCs w:val="48"/>
        </w:rPr>
        <w:t>Section 194LBB: TDS on Income in Respect of Units of Investment Fund</w:t>
      </w:r>
    </w:p>
    <w:p w:rsidR="00B23CC6" w:rsidRPr="00A70807" w:rsidRDefault="00B23CC6" w:rsidP="00B23CC6">
      <w:pPr>
        <w:rPr>
          <w:rFonts w:ascii="Times New Roman" w:hAnsi="Times New Roman" w:cs="Times New Roman"/>
          <w:sz w:val="40"/>
          <w:szCs w:val="40"/>
        </w:rPr>
      </w:pPr>
      <w:bookmarkStart w:id="0" w:name="_GoBack"/>
    </w:p>
    <w:bookmarkEnd w:id="0"/>
    <w:p w:rsidR="00B23CC6" w:rsidRPr="00A70807" w:rsidRDefault="00B23CC6" w:rsidP="00B23CC6">
      <w:pPr>
        <w:rPr>
          <w:rFonts w:ascii="Times New Roman" w:hAnsi="Times New Roman" w:cs="Times New Roman"/>
          <w:sz w:val="40"/>
          <w:szCs w:val="40"/>
        </w:rPr>
      </w:pPr>
      <w:r w:rsidRPr="00A70807">
        <w:rPr>
          <w:rFonts w:ascii="Times New Roman" w:hAnsi="Times New Roman" w:cs="Times New Roman"/>
          <w:b/>
          <w:bCs/>
          <w:sz w:val="40"/>
          <w:szCs w:val="40"/>
        </w:rPr>
        <w:t>Who has the need to deduct TDS u/s 194LBB?</w:t>
      </w:r>
    </w:p>
    <w:p w:rsidR="00B23CC6" w:rsidRPr="00A70807" w:rsidRDefault="00B23CC6" w:rsidP="00B23CC6">
      <w:pPr>
        <w:rPr>
          <w:rFonts w:ascii="Times New Roman" w:hAnsi="Times New Roman" w:cs="Times New Roman"/>
          <w:sz w:val="40"/>
          <w:szCs w:val="40"/>
        </w:rPr>
      </w:pPr>
      <w:r w:rsidRPr="00A70807">
        <w:rPr>
          <w:rFonts w:ascii="Times New Roman" w:hAnsi="Times New Roman" w:cs="Times New Roman"/>
          <w:sz w:val="40"/>
          <w:szCs w:val="40"/>
        </w:rPr>
        <w:t xml:space="preserve">Any person who gives an income (as referred u/s 115UB) to a </w:t>
      </w:r>
      <w:proofErr w:type="spellStart"/>
      <w:r w:rsidRPr="00A70807">
        <w:rPr>
          <w:rFonts w:ascii="Times New Roman" w:hAnsi="Times New Roman" w:cs="Times New Roman"/>
          <w:sz w:val="40"/>
          <w:szCs w:val="40"/>
        </w:rPr>
        <w:t>unitholder</w:t>
      </w:r>
      <w:proofErr w:type="spellEnd"/>
      <w:r w:rsidRPr="00A70807">
        <w:rPr>
          <w:rFonts w:ascii="Times New Roman" w:hAnsi="Times New Roman" w:cs="Times New Roman"/>
          <w:sz w:val="40"/>
          <w:szCs w:val="40"/>
        </w:rPr>
        <w:t xml:space="preserve"> in respect of units held in an investment trust has to deduct tax under this section.</w:t>
      </w:r>
    </w:p>
    <w:p w:rsidR="00E55978" w:rsidRDefault="00E55978" w:rsidP="00B23CC6">
      <w:pPr>
        <w:rPr>
          <w:rFonts w:ascii="Times New Roman" w:hAnsi="Times New Roman" w:cs="Times New Roman"/>
          <w:b/>
          <w:bCs/>
          <w:sz w:val="40"/>
          <w:szCs w:val="40"/>
        </w:rPr>
      </w:pPr>
    </w:p>
    <w:p w:rsidR="00E55978" w:rsidRDefault="00E55978" w:rsidP="00B23CC6">
      <w:pPr>
        <w:rPr>
          <w:rFonts w:ascii="Times New Roman" w:hAnsi="Times New Roman" w:cs="Times New Roman"/>
          <w:b/>
          <w:bCs/>
          <w:sz w:val="40"/>
          <w:szCs w:val="40"/>
        </w:rPr>
      </w:pPr>
    </w:p>
    <w:p w:rsidR="00E55978" w:rsidRDefault="00E55978" w:rsidP="00B23CC6">
      <w:pPr>
        <w:rPr>
          <w:rFonts w:ascii="Times New Roman" w:hAnsi="Times New Roman" w:cs="Times New Roman"/>
          <w:b/>
          <w:bCs/>
          <w:sz w:val="40"/>
          <w:szCs w:val="40"/>
        </w:rPr>
      </w:pPr>
    </w:p>
    <w:p w:rsidR="00E55978" w:rsidRDefault="00E55978" w:rsidP="00B23CC6">
      <w:pPr>
        <w:rPr>
          <w:rFonts w:ascii="Times New Roman" w:hAnsi="Times New Roman" w:cs="Times New Roman"/>
          <w:b/>
          <w:bCs/>
          <w:sz w:val="40"/>
          <w:szCs w:val="40"/>
        </w:rPr>
      </w:pPr>
    </w:p>
    <w:p w:rsidR="00E55978" w:rsidRDefault="00E55978" w:rsidP="00B23CC6">
      <w:pPr>
        <w:rPr>
          <w:rFonts w:ascii="Times New Roman" w:hAnsi="Times New Roman" w:cs="Times New Roman"/>
          <w:b/>
          <w:bCs/>
          <w:sz w:val="40"/>
          <w:szCs w:val="40"/>
        </w:rPr>
      </w:pPr>
    </w:p>
    <w:p w:rsidR="00B23CC6" w:rsidRPr="00A70807" w:rsidRDefault="00B23CC6" w:rsidP="00B23CC6">
      <w:pPr>
        <w:rPr>
          <w:rFonts w:ascii="Times New Roman" w:hAnsi="Times New Roman" w:cs="Times New Roman"/>
          <w:sz w:val="40"/>
          <w:szCs w:val="40"/>
        </w:rPr>
      </w:pPr>
      <w:r w:rsidRPr="00A70807">
        <w:rPr>
          <w:rFonts w:ascii="Times New Roman" w:hAnsi="Times New Roman" w:cs="Times New Roman"/>
          <w:b/>
          <w:bCs/>
          <w:sz w:val="40"/>
          <w:szCs w:val="40"/>
        </w:rPr>
        <w:t>What is the rate &amp; time of tax deduction u/s 194LBB?</w:t>
      </w:r>
    </w:p>
    <w:p w:rsidR="00B23CC6" w:rsidRPr="00A70807" w:rsidRDefault="00B23CC6" w:rsidP="00B23CC6">
      <w:pPr>
        <w:rPr>
          <w:rFonts w:ascii="Times New Roman" w:hAnsi="Times New Roman" w:cs="Times New Roman"/>
          <w:sz w:val="40"/>
          <w:szCs w:val="40"/>
        </w:rPr>
      </w:pPr>
      <w:r w:rsidRPr="00A70807">
        <w:rPr>
          <w:rFonts w:ascii="Times New Roman" w:hAnsi="Times New Roman" w:cs="Times New Roman"/>
          <w:sz w:val="40"/>
          <w:szCs w:val="40"/>
        </w:rPr>
        <w:t>The rate of tax u/s 194LBB is 10% (if the payee is resident) and if the payee is non-resident (not a company) or a foreign company then tax will be as per the rates in force during FY.</w:t>
      </w:r>
      <w:r w:rsidRPr="00A70807">
        <w:rPr>
          <w:rFonts w:ascii="Times New Roman" w:hAnsi="Times New Roman" w:cs="Times New Roman"/>
          <w:sz w:val="40"/>
          <w:szCs w:val="40"/>
        </w:rPr>
        <w:br/>
        <w:t>The time of deduction is earlier of, the credit of income to the account of the payee (receiver) or actual payment (in cash, cheque, draft or another mode).</w:t>
      </w:r>
    </w:p>
    <w:p w:rsidR="00B23CC6" w:rsidRPr="00A70807" w:rsidRDefault="00B23CC6" w:rsidP="00B23CC6">
      <w:pPr>
        <w:rPr>
          <w:rFonts w:ascii="Times New Roman" w:hAnsi="Times New Roman" w:cs="Times New Roman"/>
          <w:sz w:val="40"/>
          <w:szCs w:val="40"/>
        </w:rPr>
      </w:pPr>
    </w:p>
    <w:p w:rsidR="00B23CC6" w:rsidRPr="0089631A" w:rsidRDefault="00B23CC6" w:rsidP="00B23CC6">
      <w:pPr>
        <w:rPr>
          <w:rFonts w:ascii="Times New Roman" w:hAnsi="Times New Roman" w:cs="Times New Roman"/>
          <w:b/>
          <w:sz w:val="44"/>
          <w:szCs w:val="44"/>
        </w:rPr>
      </w:pPr>
      <w:r w:rsidRPr="0089631A">
        <w:rPr>
          <w:rFonts w:ascii="Times New Roman" w:hAnsi="Times New Roman" w:cs="Times New Roman"/>
          <w:b/>
          <w:sz w:val="44"/>
          <w:szCs w:val="44"/>
        </w:rPr>
        <w:t>Section 194LBC: TDS on Income in Respect of Investment in Securitisation Trust</w:t>
      </w:r>
    </w:p>
    <w:p w:rsidR="00B23CC6" w:rsidRPr="00A70807" w:rsidRDefault="00B23CC6" w:rsidP="00B23CC6">
      <w:pPr>
        <w:rPr>
          <w:rFonts w:ascii="Times New Roman" w:hAnsi="Times New Roman" w:cs="Times New Roman"/>
          <w:sz w:val="40"/>
          <w:szCs w:val="40"/>
        </w:rPr>
      </w:pPr>
    </w:p>
    <w:p w:rsidR="00B23CC6" w:rsidRPr="00A70807" w:rsidRDefault="00B23CC6" w:rsidP="00B23CC6">
      <w:pPr>
        <w:rPr>
          <w:rFonts w:ascii="Times New Roman" w:hAnsi="Times New Roman" w:cs="Times New Roman"/>
          <w:b/>
          <w:sz w:val="40"/>
          <w:szCs w:val="40"/>
        </w:rPr>
      </w:pPr>
      <w:r w:rsidRPr="00A70807">
        <w:rPr>
          <w:rFonts w:ascii="Times New Roman" w:hAnsi="Times New Roman" w:cs="Times New Roman"/>
          <w:b/>
          <w:bCs/>
          <w:sz w:val="40"/>
          <w:szCs w:val="40"/>
        </w:rPr>
        <w:t>Who has the need to deduct TDS u/s 194LBC?</w:t>
      </w:r>
    </w:p>
    <w:p w:rsidR="00B23CC6" w:rsidRPr="00A70807" w:rsidRDefault="00B23CC6" w:rsidP="00B23CC6">
      <w:pPr>
        <w:rPr>
          <w:rFonts w:ascii="Times New Roman" w:hAnsi="Times New Roman" w:cs="Times New Roman"/>
          <w:sz w:val="40"/>
          <w:szCs w:val="40"/>
        </w:rPr>
      </w:pPr>
      <w:r w:rsidRPr="00A70807">
        <w:rPr>
          <w:rFonts w:ascii="Times New Roman" w:hAnsi="Times New Roman" w:cs="Times New Roman"/>
          <w:sz w:val="40"/>
          <w:szCs w:val="40"/>
        </w:rPr>
        <w:t>Any person who gives income to an investor with respect to investment in securitization trust is required to deduct tax under this section.</w:t>
      </w:r>
    </w:p>
    <w:p w:rsidR="00B23CC6" w:rsidRPr="00A70807" w:rsidRDefault="00B23CC6" w:rsidP="00B23CC6">
      <w:pPr>
        <w:rPr>
          <w:rFonts w:ascii="Times New Roman" w:hAnsi="Times New Roman" w:cs="Times New Roman"/>
          <w:sz w:val="40"/>
          <w:szCs w:val="40"/>
        </w:rPr>
      </w:pPr>
      <w:r w:rsidRPr="00A70807">
        <w:rPr>
          <w:rFonts w:ascii="Times New Roman" w:hAnsi="Times New Roman" w:cs="Times New Roman"/>
          <w:b/>
          <w:bCs/>
          <w:sz w:val="40"/>
          <w:szCs w:val="40"/>
        </w:rPr>
        <w:t>What is the rate &amp; time of tax deduction u/s 194LBC?</w:t>
      </w:r>
    </w:p>
    <w:p w:rsidR="00B23CC6" w:rsidRPr="00A70807" w:rsidRDefault="00B23CC6" w:rsidP="00B23CC6">
      <w:pPr>
        <w:rPr>
          <w:rFonts w:ascii="Times New Roman" w:hAnsi="Times New Roman" w:cs="Times New Roman"/>
          <w:sz w:val="40"/>
          <w:szCs w:val="40"/>
        </w:rPr>
      </w:pPr>
      <w:r w:rsidRPr="00A70807">
        <w:rPr>
          <w:rFonts w:ascii="Times New Roman" w:hAnsi="Times New Roman" w:cs="Times New Roman"/>
          <w:sz w:val="40"/>
          <w:szCs w:val="40"/>
        </w:rPr>
        <w:t>The rate of tax u/s 194LBC is:</w:t>
      </w:r>
    </w:p>
    <w:p w:rsidR="00B23CC6" w:rsidRPr="00A70807" w:rsidRDefault="00B23CC6" w:rsidP="00B23CC6">
      <w:pPr>
        <w:numPr>
          <w:ilvl w:val="0"/>
          <w:numId w:val="4"/>
        </w:numPr>
        <w:rPr>
          <w:rFonts w:ascii="Times New Roman" w:hAnsi="Times New Roman" w:cs="Times New Roman"/>
          <w:sz w:val="40"/>
          <w:szCs w:val="40"/>
        </w:rPr>
      </w:pPr>
      <w:r w:rsidRPr="00A70807">
        <w:rPr>
          <w:rFonts w:ascii="Times New Roman" w:hAnsi="Times New Roman" w:cs="Times New Roman"/>
          <w:sz w:val="40"/>
          <w:szCs w:val="40"/>
        </w:rPr>
        <w:t>25% (if the payee is resident Individual &amp; HUF)</w:t>
      </w:r>
    </w:p>
    <w:p w:rsidR="00B23CC6" w:rsidRPr="00A70807" w:rsidRDefault="00B23CC6" w:rsidP="00B23CC6">
      <w:pPr>
        <w:numPr>
          <w:ilvl w:val="0"/>
          <w:numId w:val="4"/>
        </w:numPr>
        <w:rPr>
          <w:rFonts w:ascii="Times New Roman" w:hAnsi="Times New Roman" w:cs="Times New Roman"/>
          <w:sz w:val="40"/>
          <w:szCs w:val="40"/>
        </w:rPr>
      </w:pPr>
      <w:r w:rsidRPr="00A70807">
        <w:rPr>
          <w:rFonts w:ascii="Times New Roman" w:hAnsi="Times New Roman" w:cs="Times New Roman"/>
          <w:sz w:val="40"/>
          <w:szCs w:val="40"/>
        </w:rPr>
        <w:t>30% (if the payee is another person)</w:t>
      </w:r>
    </w:p>
    <w:p w:rsidR="00B23CC6" w:rsidRDefault="00B23CC6" w:rsidP="00B23CC6">
      <w:pPr>
        <w:numPr>
          <w:ilvl w:val="0"/>
          <w:numId w:val="4"/>
        </w:numPr>
        <w:rPr>
          <w:rFonts w:ascii="Times New Roman" w:hAnsi="Times New Roman" w:cs="Times New Roman"/>
          <w:sz w:val="40"/>
          <w:szCs w:val="40"/>
        </w:rPr>
      </w:pPr>
      <w:r w:rsidRPr="00A70807">
        <w:rPr>
          <w:rFonts w:ascii="Times New Roman" w:hAnsi="Times New Roman" w:cs="Times New Roman"/>
          <w:sz w:val="40"/>
          <w:szCs w:val="40"/>
        </w:rPr>
        <w:t>At the rates in force [if the payee is non-resident (not being a company) or foreign company].</w:t>
      </w:r>
    </w:p>
    <w:p w:rsidR="0089631A" w:rsidRDefault="0089631A" w:rsidP="0089631A">
      <w:pPr>
        <w:rPr>
          <w:rFonts w:ascii="Times New Roman" w:hAnsi="Times New Roman" w:cs="Times New Roman"/>
          <w:sz w:val="40"/>
          <w:szCs w:val="40"/>
        </w:rPr>
      </w:pPr>
    </w:p>
    <w:p w:rsidR="0089631A" w:rsidRDefault="0089631A" w:rsidP="0089631A">
      <w:pPr>
        <w:rPr>
          <w:rFonts w:ascii="Times New Roman" w:hAnsi="Times New Roman" w:cs="Times New Roman"/>
          <w:sz w:val="40"/>
          <w:szCs w:val="40"/>
        </w:rPr>
      </w:pPr>
    </w:p>
    <w:p w:rsidR="0089631A" w:rsidRPr="00A70807" w:rsidRDefault="0089631A" w:rsidP="0089631A">
      <w:pPr>
        <w:rPr>
          <w:rFonts w:ascii="Times New Roman" w:hAnsi="Times New Roman" w:cs="Times New Roman"/>
          <w:sz w:val="40"/>
          <w:szCs w:val="40"/>
        </w:rPr>
      </w:pPr>
    </w:p>
    <w:p w:rsidR="00B23CC6" w:rsidRPr="00A70807" w:rsidRDefault="00B23CC6" w:rsidP="00B23CC6">
      <w:pPr>
        <w:rPr>
          <w:rFonts w:ascii="Times New Roman" w:hAnsi="Times New Roman" w:cs="Times New Roman"/>
          <w:sz w:val="40"/>
          <w:szCs w:val="40"/>
        </w:rPr>
      </w:pPr>
      <w:r w:rsidRPr="00A70807">
        <w:rPr>
          <w:rFonts w:ascii="Times New Roman" w:hAnsi="Times New Roman" w:cs="Times New Roman"/>
          <w:sz w:val="40"/>
          <w:szCs w:val="40"/>
        </w:rPr>
        <w:t>The time of deduction is earlier of, the credit of income to the account of the payee (receiver) or actual payment (in cash, cheque, draft or another mode).</w:t>
      </w:r>
    </w:p>
    <w:p w:rsidR="00B23CC6" w:rsidRPr="00A70807" w:rsidRDefault="00B23CC6">
      <w:pPr>
        <w:rPr>
          <w:rFonts w:ascii="Times New Roman" w:hAnsi="Times New Roman" w:cs="Times New Roman"/>
          <w:sz w:val="40"/>
          <w:szCs w:val="40"/>
          <w:lang w:val="en-US"/>
        </w:rPr>
      </w:pPr>
    </w:p>
    <w:p w:rsidR="00B23CC6" w:rsidRPr="00A70807" w:rsidRDefault="00B23CC6" w:rsidP="00B23CC6">
      <w:pPr>
        <w:rPr>
          <w:rFonts w:ascii="Times New Roman" w:hAnsi="Times New Roman" w:cs="Times New Roman"/>
          <w:sz w:val="40"/>
          <w:szCs w:val="40"/>
        </w:rPr>
      </w:pPr>
      <w:r w:rsidRPr="00A70807">
        <w:rPr>
          <w:rFonts w:ascii="Times New Roman" w:hAnsi="Times New Roman" w:cs="Times New Roman"/>
          <w:sz w:val="40"/>
          <w:szCs w:val="40"/>
        </w:rPr>
        <w:t>Section 194LC: TDS on Income by way of Interest from Indian Company or Business trust</w:t>
      </w:r>
    </w:p>
    <w:p w:rsidR="00B23CC6" w:rsidRPr="00A70807" w:rsidRDefault="00B23CC6" w:rsidP="00B23CC6">
      <w:pPr>
        <w:rPr>
          <w:rFonts w:ascii="Times New Roman" w:hAnsi="Times New Roman" w:cs="Times New Roman"/>
          <w:sz w:val="40"/>
          <w:szCs w:val="40"/>
        </w:rPr>
      </w:pPr>
    </w:p>
    <w:p w:rsidR="00B23CC6" w:rsidRPr="00A70807" w:rsidRDefault="00B23CC6" w:rsidP="00B23CC6">
      <w:pPr>
        <w:rPr>
          <w:rFonts w:ascii="Times New Roman" w:hAnsi="Times New Roman" w:cs="Times New Roman"/>
          <w:b/>
          <w:sz w:val="40"/>
          <w:szCs w:val="40"/>
        </w:rPr>
      </w:pPr>
      <w:r w:rsidRPr="00A70807">
        <w:rPr>
          <w:rFonts w:ascii="Times New Roman" w:hAnsi="Times New Roman" w:cs="Times New Roman"/>
          <w:b/>
          <w:bCs/>
          <w:sz w:val="40"/>
          <w:szCs w:val="40"/>
        </w:rPr>
        <w:t>TDS u/s 194LC?</w:t>
      </w:r>
    </w:p>
    <w:p w:rsidR="00B23CC6" w:rsidRPr="00A70807" w:rsidRDefault="00B23CC6" w:rsidP="00B23CC6">
      <w:pPr>
        <w:rPr>
          <w:rFonts w:ascii="Times New Roman" w:hAnsi="Times New Roman" w:cs="Times New Roman"/>
          <w:sz w:val="40"/>
          <w:szCs w:val="40"/>
        </w:rPr>
      </w:pPr>
      <w:r w:rsidRPr="00A70807">
        <w:rPr>
          <w:rFonts w:ascii="Times New Roman" w:hAnsi="Times New Roman" w:cs="Times New Roman"/>
          <w:sz w:val="40"/>
          <w:szCs w:val="40"/>
        </w:rPr>
        <w:t>If an Indian company or a business trust pays income by way of interest to non-resident (not being a company) or foreign company, has to </w:t>
      </w:r>
      <w:hyperlink r:id="rId11" w:tgtFrame="_blank" w:history="1">
        <w:r w:rsidRPr="00A70807">
          <w:rPr>
            <w:rStyle w:val="Hyperlink"/>
            <w:rFonts w:ascii="Times New Roman" w:hAnsi="Times New Roman" w:cs="Times New Roman"/>
            <w:sz w:val="40"/>
            <w:szCs w:val="40"/>
          </w:rPr>
          <w:t>deduct TDS</w:t>
        </w:r>
      </w:hyperlink>
      <w:r w:rsidRPr="00A70807">
        <w:rPr>
          <w:rFonts w:ascii="Times New Roman" w:hAnsi="Times New Roman" w:cs="Times New Roman"/>
          <w:sz w:val="40"/>
          <w:szCs w:val="40"/>
        </w:rPr>
        <w:t> under this section.</w:t>
      </w:r>
    </w:p>
    <w:p w:rsidR="00B23CC6" w:rsidRPr="00A70807" w:rsidRDefault="00B23CC6" w:rsidP="00B23CC6">
      <w:pPr>
        <w:rPr>
          <w:rFonts w:ascii="Times New Roman" w:hAnsi="Times New Roman" w:cs="Times New Roman"/>
          <w:sz w:val="40"/>
          <w:szCs w:val="40"/>
        </w:rPr>
      </w:pPr>
      <w:r w:rsidRPr="00A70807">
        <w:rPr>
          <w:rFonts w:ascii="Times New Roman" w:hAnsi="Times New Roman" w:cs="Times New Roman"/>
          <w:b/>
          <w:bCs/>
          <w:sz w:val="40"/>
          <w:szCs w:val="40"/>
        </w:rPr>
        <w:t>Interest on which TDS is to be deducted</w:t>
      </w:r>
    </w:p>
    <w:p w:rsidR="00B23CC6" w:rsidRPr="00A70807" w:rsidRDefault="00B23CC6" w:rsidP="00B23CC6">
      <w:pPr>
        <w:rPr>
          <w:rFonts w:ascii="Times New Roman" w:hAnsi="Times New Roman" w:cs="Times New Roman"/>
          <w:sz w:val="40"/>
          <w:szCs w:val="40"/>
        </w:rPr>
      </w:pPr>
      <w:r w:rsidRPr="00A70807">
        <w:rPr>
          <w:rFonts w:ascii="Times New Roman" w:hAnsi="Times New Roman" w:cs="Times New Roman"/>
          <w:sz w:val="40"/>
          <w:szCs w:val="40"/>
        </w:rPr>
        <w:t>The Interest must be in respect of money borrowed by the specified company or business trust from a source outside India by the way of issue of rupee-denominated bond.</w:t>
      </w:r>
    </w:p>
    <w:p w:rsidR="00B23CC6" w:rsidRPr="00A70807" w:rsidRDefault="00B23CC6" w:rsidP="00B23CC6">
      <w:pPr>
        <w:rPr>
          <w:rFonts w:ascii="Times New Roman" w:hAnsi="Times New Roman" w:cs="Times New Roman"/>
          <w:sz w:val="40"/>
          <w:szCs w:val="40"/>
        </w:rPr>
      </w:pPr>
    </w:p>
    <w:p w:rsidR="00B23CC6" w:rsidRPr="00A70807" w:rsidRDefault="00B23CC6" w:rsidP="00B23CC6">
      <w:pPr>
        <w:rPr>
          <w:rFonts w:ascii="Times New Roman" w:hAnsi="Times New Roman" w:cs="Times New Roman"/>
          <w:sz w:val="40"/>
          <w:szCs w:val="40"/>
        </w:rPr>
      </w:pPr>
      <w:r w:rsidRPr="00A70807">
        <w:rPr>
          <w:rFonts w:ascii="Times New Roman" w:hAnsi="Times New Roman" w:cs="Times New Roman"/>
          <w:b/>
          <w:bCs/>
          <w:sz w:val="40"/>
          <w:szCs w:val="40"/>
        </w:rPr>
        <w:t>What is the rate &amp; time of tax deduction u/s 194LC?</w:t>
      </w:r>
    </w:p>
    <w:p w:rsidR="00B23CC6" w:rsidRPr="00A70807" w:rsidRDefault="00B23CC6" w:rsidP="00B23CC6">
      <w:pPr>
        <w:rPr>
          <w:rFonts w:ascii="Times New Roman" w:hAnsi="Times New Roman" w:cs="Times New Roman"/>
          <w:sz w:val="40"/>
          <w:szCs w:val="40"/>
        </w:rPr>
      </w:pPr>
      <w:r w:rsidRPr="00A70807">
        <w:rPr>
          <w:rFonts w:ascii="Times New Roman" w:hAnsi="Times New Roman" w:cs="Times New Roman"/>
          <w:sz w:val="40"/>
          <w:szCs w:val="40"/>
        </w:rPr>
        <w:t>The rate of tax u/s 194LC is 5% (plus Health &amp; Education Cess @ 4%). The time of deduction is earlier of, the credit of income to the account of the payee (receiver) or actual payment (in cash, cheque, draft or another mode).</w:t>
      </w:r>
    </w:p>
    <w:p w:rsidR="00B23CC6" w:rsidRPr="00A70807" w:rsidRDefault="00B23CC6" w:rsidP="00B23CC6">
      <w:pPr>
        <w:rPr>
          <w:rFonts w:ascii="Times New Roman" w:hAnsi="Times New Roman" w:cs="Times New Roman"/>
          <w:sz w:val="40"/>
          <w:szCs w:val="40"/>
        </w:rPr>
      </w:pPr>
      <w:r w:rsidRPr="00A70807">
        <w:rPr>
          <w:rFonts w:ascii="Times New Roman" w:hAnsi="Times New Roman" w:cs="Times New Roman"/>
          <w:sz w:val="40"/>
          <w:szCs w:val="40"/>
        </w:rPr>
        <w:lastRenderedPageBreak/>
        <w:t>Section 194LD: TDS on Income by way of Interest on Certain Bonds and Government Securities</w:t>
      </w:r>
    </w:p>
    <w:p w:rsidR="0089631A" w:rsidRDefault="0089631A" w:rsidP="00B23CC6">
      <w:pPr>
        <w:rPr>
          <w:rFonts w:ascii="Times New Roman" w:hAnsi="Times New Roman" w:cs="Times New Roman"/>
          <w:b/>
          <w:bCs/>
          <w:sz w:val="40"/>
          <w:szCs w:val="40"/>
        </w:rPr>
      </w:pPr>
    </w:p>
    <w:p w:rsidR="00B23CC6" w:rsidRPr="00A70807" w:rsidRDefault="0089631A" w:rsidP="00B23CC6">
      <w:pPr>
        <w:rPr>
          <w:rFonts w:ascii="Times New Roman" w:hAnsi="Times New Roman" w:cs="Times New Roman"/>
          <w:sz w:val="40"/>
          <w:szCs w:val="40"/>
        </w:rPr>
      </w:pPr>
      <w:r>
        <w:rPr>
          <w:rFonts w:ascii="Times New Roman" w:hAnsi="Times New Roman" w:cs="Times New Roman"/>
          <w:b/>
          <w:bCs/>
          <w:sz w:val="40"/>
          <w:szCs w:val="40"/>
        </w:rPr>
        <w:t>TDS u/s 194LD</w:t>
      </w:r>
    </w:p>
    <w:p w:rsidR="00B23CC6" w:rsidRPr="00A70807" w:rsidRDefault="00B23CC6" w:rsidP="00B23CC6">
      <w:pPr>
        <w:rPr>
          <w:rFonts w:ascii="Times New Roman" w:hAnsi="Times New Roman" w:cs="Times New Roman"/>
          <w:sz w:val="40"/>
          <w:szCs w:val="40"/>
        </w:rPr>
      </w:pPr>
      <w:r w:rsidRPr="00A70807">
        <w:rPr>
          <w:rFonts w:ascii="Times New Roman" w:hAnsi="Times New Roman" w:cs="Times New Roman"/>
          <w:sz w:val="40"/>
          <w:szCs w:val="40"/>
        </w:rPr>
        <w:t>If any person pays to FII (Foreign Institutional Investor) or QFB (Qualified Foreign Investor) income by way of interest has to deduct tax at source.</w:t>
      </w:r>
    </w:p>
    <w:p w:rsidR="00B23CC6" w:rsidRPr="00A70807" w:rsidRDefault="00B23CC6" w:rsidP="00B23CC6">
      <w:pPr>
        <w:rPr>
          <w:rFonts w:ascii="Times New Roman" w:hAnsi="Times New Roman" w:cs="Times New Roman"/>
          <w:sz w:val="40"/>
          <w:szCs w:val="40"/>
        </w:rPr>
      </w:pPr>
      <w:r w:rsidRPr="00A70807">
        <w:rPr>
          <w:rFonts w:ascii="Times New Roman" w:hAnsi="Times New Roman" w:cs="Times New Roman"/>
          <w:b/>
          <w:bCs/>
          <w:sz w:val="40"/>
          <w:szCs w:val="40"/>
        </w:rPr>
        <w:t>Interest on which TDS is to be deducted</w:t>
      </w:r>
    </w:p>
    <w:p w:rsidR="00B23CC6" w:rsidRPr="00A70807" w:rsidRDefault="00B23CC6" w:rsidP="00B23CC6">
      <w:pPr>
        <w:rPr>
          <w:rFonts w:ascii="Times New Roman" w:hAnsi="Times New Roman" w:cs="Times New Roman"/>
          <w:sz w:val="40"/>
          <w:szCs w:val="40"/>
        </w:rPr>
      </w:pPr>
      <w:r w:rsidRPr="00A70807">
        <w:rPr>
          <w:rFonts w:ascii="Times New Roman" w:hAnsi="Times New Roman" w:cs="Times New Roman"/>
          <w:sz w:val="40"/>
          <w:szCs w:val="40"/>
        </w:rPr>
        <w:t>Interest must be in respect of investment made by the payee in a rupee-denominated bond of Indian Company or a government security.</w:t>
      </w:r>
    </w:p>
    <w:p w:rsidR="00B23CC6" w:rsidRPr="00A70807" w:rsidRDefault="00B23CC6" w:rsidP="00B23CC6">
      <w:pPr>
        <w:rPr>
          <w:rFonts w:ascii="Times New Roman" w:hAnsi="Times New Roman" w:cs="Times New Roman"/>
          <w:sz w:val="40"/>
          <w:szCs w:val="40"/>
        </w:rPr>
      </w:pPr>
      <w:r w:rsidRPr="00A70807">
        <w:rPr>
          <w:rFonts w:ascii="Times New Roman" w:hAnsi="Times New Roman" w:cs="Times New Roman"/>
          <w:b/>
          <w:bCs/>
          <w:sz w:val="40"/>
          <w:szCs w:val="40"/>
        </w:rPr>
        <w:t>What is the rate &amp; time of tax deduction u/s 194LD?</w:t>
      </w:r>
    </w:p>
    <w:p w:rsidR="00B23CC6" w:rsidRPr="00A70807" w:rsidRDefault="00B23CC6" w:rsidP="00B23CC6">
      <w:pPr>
        <w:rPr>
          <w:rFonts w:ascii="Times New Roman" w:hAnsi="Times New Roman" w:cs="Times New Roman"/>
          <w:sz w:val="40"/>
          <w:szCs w:val="40"/>
        </w:rPr>
      </w:pPr>
      <w:r w:rsidRPr="00A70807">
        <w:rPr>
          <w:rFonts w:ascii="Times New Roman" w:hAnsi="Times New Roman" w:cs="Times New Roman"/>
          <w:sz w:val="40"/>
          <w:szCs w:val="40"/>
        </w:rPr>
        <w:t>The rate of tax u/s 194LD is 5% (plus Health &amp; Education Cess @ 4%). The time of deduction is earlier of, the credit of income to the account of the payee (receiver) or actual payment (in cash, cheque, draft or another mode).</w:t>
      </w:r>
    </w:p>
    <w:p w:rsidR="00B23CC6" w:rsidRPr="00A70807" w:rsidRDefault="00B23CC6">
      <w:pPr>
        <w:rPr>
          <w:rFonts w:ascii="Times New Roman" w:hAnsi="Times New Roman" w:cs="Times New Roman"/>
          <w:sz w:val="40"/>
          <w:szCs w:val="40"/>
          <w:lang w:val="en-US"/>
        </w:rPr>
      </w:pPr>
    </w:p>
    <w:sectPr w:rsidR="00B23CC6" w:rsidRPr="00A70807" w:rsidSect="00074D93">
      <w:pgSz w:w="11909" w:h="16834" w:code="9"/>
      <w:pgMar w:top="1077" w:right="1021" w:bottom="635" w:left="1712"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C1A28"/>
    <w:multiLevelType w:val="multilevel"/>
    <w:tmpl w:val="28A49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C7496F"/>
    <w:multiLevelType w:val="multilevel"/>
    <w:tmpl w:val="B93E1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B77177"/>
    <w:multiLevelType w:val="multilevel"/>
    <w:tmpl w:val="7606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3F66B7"/>
    <w:multiLevelType w:val="multilevel"/>
    <w:tmpl w:val="934A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540"/>
    <w:rsid w:val="00074D93"/>
    <w:rsid w:val="0089631A"/>
    <w:rsid w:val="009C4540"/>
    <w:rsid w:val="00A70807"/>
    <w:rsid w:val="00B23CC6"/>
    <w:rsid w:val="00BF23B2"/>
    <w:rsid w:val="00DF60DB"/>
    <w:rsid w:val="00E55978"/>
    <w:rsid w:val="00EE019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737E1-59C2-4FEA-9AEF-5C4CE1510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23C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4540"/>
    <w:rPr>
      <w:color w:val="0563C1" w:themeColor="hyperlink"/>
      <w:u w:val="single"/>
    </w:rPr>
  </w:style>
  <w:style w:type="paragraph" w:styleId="NormalWeb">
    <w:name w:val="Normal (Web)"/>
    <w:basedOn w:val="Normal"/>
    <w:uiPriority w:val="99"/>
    <w:semiHidden/>
    <w:unhideWhenUsed/>
    <w:rsid w:val="009C454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semiHidden/>
    <w:rsid w:val="00B23CC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85506">
      <w:bodyDiv w:val="1"/>
      <w:marLeft w:val="0"/>
      <w:marRight w:val="0"/>
      <w:marTop w:val="0"/>
      <w:marBottom w:val="0"/>
      <w:divBdr>
        <w:top w:val="none" w:sz="0" w:space="0" w:color="auto"/>
        <w:left w:val="none" w:sz="0" w:space="0" w:color="auto"/>
        <w:bottom w:val="none" w:sz="0" w:space="0" w:color="auto"/>
        <w:right w:val="none" w:sz="0" w:space="0" w:color="auto"/>
      </w:divBdr>
    </w:div>
    <w:div w:id="575749529">
      <w:bodyDiv w:val="1"/>
      <w:marLeft w:val="0"/>
      <w:marRight w:val="0"/>
      <w:marTop w:val="0"/>
      <w:marBottom w:val="0"/>
      <w:divBdr>
        <w:top w:val="none" w:sz="0" w:space="0" w:color="auto"/>
        <w:left w:val="none" w:sz="0" w:space="0" w:color="auto"/>
        <w:bottom w:val="none" w:sz="0" w:space="0" w:color="auto"/>
        <w:right w:val="none" w:sz="0" w:space="0" w:color="auto"/>
      </w:divBdr>
    </w:div>
    <w:div w:id="738942114">
      <w:bodyDiv w:val="1"/>
      <w:marLeft w:val="0"/>
      <w:marRight w:val="0"/>
      <w:marTop w:val="0"/>
      <w:marBottom w:val="0"/>
      <w:divBdr>
        <w:top w:val="none" w:sz="0" w:space="0" w:color="auto"/>
        <w:left w:val="none" w:sz="0" w:space="0" w:color="auto"/>
        <w:bottom w:val="none" w:sz="0" w:space="0" w:color="auto"/>
        <w:right w:val="none" w:sz="0" w:space="0" w:color="auto"/>
      </w:divBdr>
    </w:div>
    <w:div w:id="817965910">
      <w:bodyDiv w:val="1"/>
      <w:marLeft w:val="0"/>
      <w:marRight w:val="0"/>
      <w:marTop w:val="0"/>
      <w:marBottom w:val="0"/>
      <w:divBdr>
        <w:top w:val="none" w:sz="0" w:space="0" w:color="auto"/>
        <w:left w:val="none" w:sz="0" w:space="0" w:color="auto"/>
        <w:bottom w:val="none" w:sz="0" w:space="0" w:color="auto"/>
        <w:right w:val="none" w:sz="0" w:space="0" w:color="auto"/>
      </w:divBdr>
    </w:div>
    <w:div w:id="966591798">
      <w:bodyDiv w:val="1"/>
      <w:marLeft w:val="0"/>
      <w:marRight w:val="0"/>
      <w:marTop w:val="0"/>
      <w:marBottom w:val="0"/>
      <w:divBdr>
        <w:top w:val="none" w:sz="0" w:space="0" w:color="auto"/>
        <w:left w:val="none" w:sz="0" w:space="0" w:color="auto"/>
        <w:bottom w:val="none" w:sz="0" w:space="0" w:color="auto"/>
        <w:right w:val="none" w:sz="0" w:space="0" w:color="auto"/>
      </w:divBdr>
    </w:div>
    <w:div w:id="1110969784">
      <w:bodyDiv w:val="1"/>
      <w:marLeft w:val="0"/>
      <w:marRight w:val="0"/>
      <w:marTop w:val="0"/>
      <w:marBottom w:val="0"/>
      <w:divBdr>
        <w:top w:val="none" w:sz="0" w:space="0" w:color="auto"/>
        <w:left w:val="none" w:sz="0" w:space="0" w:color="auto"/>
        <w:bottom w:val="none" w:sz="0" w:space="0" w:color="auto"/>
        <w:right w:val="none" w:sz="0" w:space="0" w:color="auto"/>
      </w:divBdr>
    </w:div>
    <w:div w:id="1175270914">
      <w:bodyDiv w:val="1"/>
      <w:marLeft w:val="0"/>
      <w:marRight w:val="0"/>
      <w:marTop w:val="0"/>
      <w:marBottom w:val="0"/>
      <w:divBdr>
        <w:top w:val="none" w:sz="0" w:space="0" w:color="auto"/>
        <w:left w:val="none" w:sz="0" w:space="0" w:color="auto"/>
        <w:bottom w:val="none" w:sz="0" w:space="0" w:color="auto"/>
        <w:right w:val="none" w:sz="0" w:space="0" w:color="auto"/>
      </w:divBdr>
    </w:div>
    <w:div w:id="194834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ripbox.com/tax/dividend-distribution-tax-dd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cripbox.com/mf/tax-on-mutual-fund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ripbox.com/tax/income-tax-return/" TargetMode="External"/><Relationship Id="rId11" Type="http://schemas.openxmlformats.org/officeDocument/2006/relationships/hyperlink" Target="https://tax2win.in/guide/tds" TargetMode="External"/><Relationship Id="rId5" Type="http://schemas.openxmlformats.org/officeDocument/2006/relationships/hyperlink" Target="https://scripbox.com/tax/tds/" TargetMode="External"/><Relationship Id="rId10" Type="http://schemas.openxmlformats.org/officeDocument/2006/relationships/hyperlink" Target="https://scripbox.com/tax/capital-gain/" TargetMode="External"/><Relationship Id="rId4" Type="http://schemas.openxmlformats.org/officeDocument/2006/relationships/webSettings" Target="webSettings.xml"/><Relationship Id="rId9" Type="http://schemas.openxmlformats.org/officeDocument/2006/relationships/hyperlink" Target="https://scripbox.com/pf/divid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2023-11-30T06:31:00Z</dcterms:created>
  <dcterms:modified xsi:type="dcterms:W3CDTF">2023-11-30T06:43:00Z</dcterms:modified>
</cp:coreProperties>
</file>