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Under Section 194IA, TDS is required to be deducted when the consideration for the transfer of immovable property exceeds:</w:t>
      </w:r>
    </w:p>
    <w:p w:rsidR="00FC5119" w:rsidRPr="00FC5119" w:rsidRDefault="00FC5119" w:rsidP="00FC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₹25 lakh</w:t>
      </w:r>
    </w:p>
    <w:p w:rsidR="00FC5119" w:rsidRPr="00FC5119" w:rsidRDefault="00FC5119" w:rsidP="00FC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₹50 lakh</w:t>
      </w:r>
    </w:p>
    <w:p w:rsidR="00FC5119" w:rsidRPr="00FC5119" w:rsidRDefault="00FC5119" w:rsidP="00FC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₹1 crore</w:t>
      </w:r>
    </w:p>
    <w:p w:rsidR="00FC5119" w:rsidRPr="00FC5119" w:rsidRDefault="00FC5119" w:rsidP="00FC51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₹10 lakh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B. ₹50 lakh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The rate of TDS under Section 194IA is:</w:t>
      </w:r>
    </w:p>
    <w:p w:rsidR="00FC5119" w:rsidRPr="00FC5119" w:rsidRDefault="00FC5119" w:rsidP="00FC5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1%</w:t>
      </w:r>
    </w:p>
    <w:p w:rsidR="00FC5119" w:rsidRPr="00FC5119" w:rsidRDefault="00FC5119" w:rsidP="00FC5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5%</w:t>
      </w:r>
    </w:p>
    <w:p w:rsidR="00FC5119" w:rsidRPr="00FC5119" w:rsidRDefault="00FC5119" w:rsidP="00FC5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10%</w:t>
      </w:r>
    </w:p>
    <w:p w:rsidR="00FC5119" w:rsidRPr="00FC5119" w:rsidRDefault="00FC5119" w:rsidP="00FC51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0.1%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A. 1%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Under Section 194IA, the TDS is required to be deducted:</w:t>
      </w:r>
    </w:p>
    <w:p w:rsidR="00FC5119" w:rsidRPr="00FC5119" w:rsidRDefault="00FC5119" w:rsidP="00FC5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By the seller at the time of sale</w:t>
      </w:r>
    </w:p>
    <w:p w:rsidR="00FC5119" w:rsidRPr="00FC5119" w:rsidRDefault="00FC5119" w:rsidP="00FC5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By the buyer at the time of payment or credit, whichever is earlier</w:t>
      </w:r>
    </w:p>
    <w:p w:rsidR="00FC5119" w:rsidRPr="00FC5119" w:rsidRDefault="00FC5119" w:rsidP="00FC5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By the broker</w:t>
      </w:r>
    </w:p>
    <w:p w:rsidR="00FC5119" w:rsidRPr="00FC5119" w:rsidRDefault="00FC5119" w:rsidP="00FC51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After completion of registration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B. By the buyer at the time of payment or credit, whichever is earlier</w:t>
      </w:r>
    </w:p>
    <w:p w:rsidR="00FC5119" w:rsidRPr="00FC5119" w:rsidRDefault="00FC5119" w:rsidP="00FC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C5119" w:rsidRPr="00FC5119" w:rsidRDefault="00FC5119" w:rsidP="00FC51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5119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FC51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194IB – TDS on Rent by Individual/HUF (not liable to tax audit)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Under Section 194IB, TDS is applicable if the monthly rent exceeds:</w:t>
      </w:r>
    </w:p>
    <w:p w:rsidR="00FC5119" w:rsidRPr="00FC5119" w:rsidRDefault="00FC5119" w:rsidP="00FC51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₹30,000</w:t>
      </w:r>
    </w:p>
    <w:p w:rsidR="00FC5119" w:rsidRPr="00FC5119" w:rsidRDefault="00FC5119" w:rsidP="00FC51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₹40,000</w:t>
      </w:r>
    </w:p>
    <w:p w:rsidR="00FC5119" w:rsidRPr="00FC5119" w:rsidRDefault="00FC5119" w:rsidP="00FC51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₹50,000</w:t>
      </w:r>
    </w:p>
    <w:p w:rsidR="00FC5119" w:rsidRPr="00FC5119" w:rsidRDefault="00FC5119" w:rsidP="00FC51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₹60,000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C. ₹50,000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What is the TDS rate under Section 194IB?</w:t>
      </w:r>
    </w:p>
    <w:p w:rsidR="00FC5119" w:rsidRPr="00FC5119" w:rsidRDefault="00FC5119" w:rsidP="00FC51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5%</w:t>
      </w:r>
    </w:p>
    <w:p w:rsidR="00FC5119" w:rsidRPr="00FC5119" w:rsidRDefault="00FC5119" w:rsidP="00FC51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10%</w:t>
      </w:r>
    </w:p>
    <w:p w:rsidR="00FC5119" w:rsidRPr="00FC5119" w:rsidRDefault="00FC5119" w:rsidP="00FC51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1%</w:t>
      </w:r>
    </w:p>
    <w:p w:rsidR="00FC5119" w:rsidRPr="00FC5119" w:rsidRDefault="00FC5119" w:rsidP="00FC51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lastRenderedPageBreak/>
        <w:t>D. 2%</w:t>
      </w:r>
    </w:p>
    <w:p w:rsidR="00FC5119" w:rsidRPr="00FC5119" w:rsidRDefault="00FC5119" w:rsidP="00FC51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D. 2%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Under Section 194IB, when should the TDS be deposited by the tenant?</w:t>
      </w:r>
    </w:p>
    <w:p w:rsidR="00FC5119" w:rsidRPr="00FC5119" w:rsidRDefault="00FC5119" w:rsidP="00FC51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Within 7 days from the end of the month</w:t>
      </w:r>
    </w:p>
    <w:p w:rsidR="00FC5119" w:rsidRPr="00FC5119" w:rsidRDefault="00FC5119" w:rsidP="00FC51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Within 15 days from the end of the month in which deduction is made</w:t>
      </w:r>
    </w:p>
    <w:p w:rsidR="00FC5119" w:rsidRPr="00FC5119" w:rsidRDefault="00FC5119" w:rsidP="00FC51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Within 30 days from the end of the financial year or tenancy period</w:t>
      </w:r>
    </w:p>
    <w:p w:rsidR="00FC5119" w:rsidRPr="00FC5119" w:rsidRDefault="00FC5119" w:rsidP="00FC51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At the time of agreement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C. Within 30 days from the end of the financial year or tenancy period</w:t>
      </w:r>
    </w:p>
    <w:p w:rsidR="00FC5119" w:rsidRPr="00FC5119" w:rsidRDefault="00FC5119" w:rsidP="00FC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C5119" w:rsidRPr="00FC5119" w:rsidRDefault="00FC5119" w:rsidP="00FC51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5119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FC51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194I – TDS on Rent by Individuals/HUF (liable to tax audit) or others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Under Section 194I, TDS is applicable when the annual rent exceeds:</w:t>
      </w:r>
    </w:p>
    <w:p w:rsidR="00FC5119" w:rsidRPr="00FC5119" w:rsidRDefault="00FC5119" w:rsidP="00FC51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₹1 lakh</w:t>
      </w:r>
    </w:p>
    <w:p w:rsidR="00FC5119" w:rsidRPr="00FC5119" w:rsidRDefault="00FC5119" w:rsidP="00FC51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₹1.8 lakh</w:t>
      </w:r>
    </w:p>
    <w:p w:rsidR="00FC5119" w:rsidRPr="00FC5119" w:rsidRDefault="00FC5119" w:rsidP="00FC51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₹</w:t>
      </w:r>
      <w:r>
        <w:rPr>
          <w:rFonts w:ascii="Times New Roman" w:eastAsia="Times New Roman" w:hAnsi="Times New Roman" w:cs="Times New Roman"/>
          <w:sz w:val="24"/>
          <w:szCs w:val="24"/>
        </w:rPr>
        <w:t>50,000 pm</w:t>
      </w:r>
    </w:p>
    <w:p w:rsidR="00FC5119" w:rsidRPr="00FC5119" w:rsidRDefault="00FC5119" w:rsidP="00FC51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₹2 lakh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>₹</w:t>
      </w:r>
      <w:r>
        <w:rPr>
          <w:rFonts w:ascii="Times New Roman" w:eastAsia="Times New Roman" w:hAnsi="Times New Roman" w:cs="Times New Roman"/>
          <w:sz w:val="24"/>
          <w:szCs w:val="24"/>
        </w:rPr>
        <w:t>50,000 pm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What is the TDS rate for rent of plant and machinery under Section 194I?</w:t>
      </w:r>
    </w:p>
    <w:p w:rsidR="00FC5119" w:rsidRPr="00FC5119" w:rsidRDefault="00FC5119" w:rsidP="00FC51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2%</w:t>
      </w:r>
    </w:p>
    <w:p w:rsidR="00FC5119" w:rsidRPr="00FC5119" w:rsidRDefault="00FC5119" w:rsidP="00FC51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5%</w:t>
      </w:r>
    </w:p>
    <w:p w:rsidR="00FC5119" w:rsidRPr="00FC5119" w:rsidRDefault="00FC5119" w:rsidP="00FC51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10%</w:t>
      </w:r>
    </w:p>
    <w:p w:rsidR="00FC5119" w:rsidRPr="00FC5119" w:rsidRDefault="00FC5119" w:rsidP="00FC51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15%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A. 2%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What is the TDS rate for rent of land, building, or furniture under Section 194I?</w:t>
      </w:r>
    </w:p>
    <w:p w:rsidR="00FC5119" w:rsidRPr="00FC5119" w:rsidRDefault="00FC5119" w:rsidP="00FC51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1%</w:t>
      </w:r>
    </w:p>
    <w:p w:rsidR="00FC5119" w:rsidRPr="00FC5119" w:rsidRDefault="00FC5119" w:rsidP="00FC51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2%</w:t>
      </w:r>
    </w:p>
    <w:p w:rsidR="00FC5119" w:rsidRPr="00FC5119" w:rsidRDefault="00FC5119" w:rsidP="00FC51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C. 5%</w:t>
      </w:r>
    </w:p>
    <w:p w:rsidR="00FC5119" w:rsidRPr="00FC5119" w:rsidRDefault="00FC5119" w:rsidP="00FC51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D. 10%</w:t>
      </w:r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D. 10%</w:t>
      </w:r>
    </w:p>
    <w:p w:rsidR="00FC5119" w:rsidRPr="00FC5119" w:rsidRDefault="00FC5119" w:rsidP="00FC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Section 194I is </w:t>
      </w: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applicable to:</w:t>
      </w:r>
    </w:p>
    <w:p w:rsidR="00FC5119" w:rsidRPr="00FC5119" w:rsidRDefault="00FC5119" w:rsidP="00FC51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A. Individual paying rent above ₹2.4 lakh and liable to tax audit</w:t>
      </w:r>
    </w:p>
    <w:p w:rsidR="00FC5119" w:rsidRPr="00FC5119" w:rsidRDefault="00FC5119" w:rsidP="00FC51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>B. Company paying rent for office premises</w:t>
      </w:r>
    </w:p>
    <w:p w:rsidR="00FC5119" w:rsidRPr="00FC5119" w:rsidRDefault="00FC5119" w:rsidP="00FC51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C. Individual not </w:t>
      </w:r>
      <w:r>
        <w:rPr>
          <w:rFonts w:ascii="Times New Roman" w:eastAsia="Times New Roman" w:hAnsi="Times New Roman" w:cs="Times New Roman"/>
          <w:sz w:val="24"/>
          <w:szCs w:val="24"/>
        </w:rPr>
        <w:t>having turnover up to 1 Cr</w:t>
      </w:r>
    </w:p>
    <w:p w:rsidR="00FC5119" w:rsidRPr="00FC5119" w:rsidRDefault="00FC5119" w:rsidP="00FC51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D. Partnership firm paying rent for </w:t>
      </w:r>
      <w:proofErr w:type="spellStart"/>
      <w:r w:rsidRPr="00FC5119">
        <w:rPr>
          <w:rFonts w:ascii="Times New Roman" w:eastAsia="Times New Roman" w:hAnsi="Times New Roman" w:cs="Times New Roman"/>
          <w:sz w:val="24"/>
          <w:szCs w:val="24"/>
        </w:rPr>
        <w:t>godown</w:t>
      </w:r>
      <w:proofErr w:type="spellEnd"/>
    </w:p>
    <w:p w:rsidR="00FC5119" w:rsidRPr="00FC5119" w:rsidRDefault="00FC5119" w:rsidP="00FC51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19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r w:rsidRPr="00FC5119">
        <w:rPr>
          <w:rFonts w:ascii="Times New Roman" w:eastAsia="Times New Roman" w:hAnsi="Times New Roman" w:cs="Times New Roman"/>
          <w:sz w:val="24"/>
          <w:szCs w:val="24"/>
        </w:rPr>
        <w:t xml:space="preserve">Individual not </w:t>
      </w:r>
      <w:r>
        <w:rPr>
          <w:rFonts w:ascii="Times New Roman" w:eastAsia="Times New Roman" w:hAnsi="Times New Roman" w:cs="Times New Roman"/>
          <w:sz w:val="24"/>
          <w:szCs w:val="24"/>
        </w:rPr>
        <w:t>having turnover up to 1 Cr</w:t>
      </w:r>
    </w:p>
    <w:p w:rsidR="00DA61C1" w:rsidRDefault="00DA61C1"/>
    <w:sectPr w:rsidR="00DA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22"/>
    <w:multiLevelType w:val="multilevel"/>
    <w:tmpl w:val="6CE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2B02"/>
    <w:multiLevelType w:val="multilevel"/>
    <w:tmpl w:val="72A2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B5F10"/>
    <w:multiLevelType w:val="multilevel"/>
    <w:tmpl w:val="465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C249B"/>
    <w:multiLevelType w:val="multilevel"/>
    <w:tmpl w:val="FC14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E5B66"/>
    <w:multiLevelType w:val="multilevel"/>
    <w:tmpl w:val="44B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D1C6A"/>
    <w:multiLevelType w:val="multilevel"/>
    <w:tmpl w:val="795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55CED"/>
    <w:multiLevelType w:val="multilevel"/>
    <w:tmpl w:val="5BA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720B5"/>
    <w:multiLevelType w:val="multilevel"/>
    <w:tmpl w:val="DBA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517B0"/>
    <w:multiLevelType w:val="multilevel"/>
    <w:tmpl w:val="D4E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366E2"/>
    <w:multiLevelType w:val="multilevel"/>
    <w:tmpl w:val="7B0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76"/>
    <w:rsid w:val="00125A76"/>
    <w:rsid w:val="00DA61C1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507A"/>
  <w15:chartTrackingRefBased/>
  <w15:docId w15:val="{B7E9E867-BBA0-4E5A-BA3A-B7D1D600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51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C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2025-07-22T08:01:00Z</dcterms:created>
  <dcterms:modified xsi:type="dcterms:W3CDTF">2025-07-22T08:04:00Z</dcterms:modified>
</cp:coreProperties>
</file>