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5C5D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MCQ – STATEMENT OF </w:t>
      </w:r>
      <w:r>
        <w:rPr>
          <w:rFonts w:hint="default"/>
          <w:b/>
          <w:u w:val="single"/>
          <w:lang w:val="en-US"/>
        </w:rPr>
        <w:t>Amendment in TDS and TCS</w:t>
      </w:r>
      <w:r>
        <w:rPr>
          <w:b/>
          <w:u w:val="single"/>
        </w:rPr>
        <w:t xml:space="preserve"> [ Correct alternative is under bold character ]</w:t>
      </w:r>
    </w:p>
    <w:p w14:paraId="720D1712">
      <w:pPr>
        <w:pStyle w:val="4"/>
        <w:ind w:left="240" w:leftChars="0" w:hanging="240" w:hangingChars="100"/>
        <w:rPr>
          <w:rFonts w:hint="default"/>
          <w:lang w:val="en-US"/>
        </w:rPr>
      </w:pPr>
      <w:r>
        <w:t xml:space="preserve">Q 1 </w:t>
      </w:r>
      <w:r>
        <w:rPr>
          <w:rFonts w:hint="default"/>
          <w:lang w:val="en-US"/>
        </w:rPr>
        <w:t>On the basis of the recent amendment the limit of cash withdrawal by a Co-operative society from Bank without deduction of tax is</w:t>
      </w:r>
    </w:p>
    <w:p w14:paraId="145111B5">
      <w:pPr>
        <w:pStyle w:val="4"/>
        <w:numPr>
          <w:ilvl w:val="0"/>
          <w:numId w:val="1"/>
        </w:numPr>
        <w:ind w:left="240" w:leftChars="0" w:hanging="240" w:hangingChars="100"/>
      </w:pPr>
      <w:r>
        <w:rPr>
          <w:rFonts w:hint="default"/>
          <w:lang w:val="en-US"/>
        </w:rPr>
        <w:t>Rs.1 Crore</w:t>
      </w:r>
    </w:p>
    <w:p w14:paraId="5E43E9A1">
      <w:pPr>
        <w:pStyle w:val="4"/>
        <w:numPr>
          <w:ilvl w:val="0"/>
          <w:numId w:val="1"/>
        </w:numPr>
        <w:ind w:left="240" w:leftChars="0" w:hanging="240" w:hangingChars="100"/>
      </w:pPr>
      <w:r>
        <w:rPr>
          <w:rFonts w:hint="default"/>
          <w:lang w:val="en-US"/>
        </w:rPr>
        <w:t>Rs. 2 Crore</w:t>
      </w:r>
    </w:p>
    <w:p w14:paraId="1F3FE4EF">
      <w:pPr>
        <w:pStyle w:val="4"/>
        <w:numPr>
          <w:ilvl w:val="0"/>
          <w:numId w:val="1"/>
        </w:numPr>
        <w:ind w:left="241" w:leftChars="0" w:hanging="241" w:hangingChars="100"/>
        <w:rPr>
          <w:b/>
          <w:bCs/>
        </w:rPr>
      </w:pPr>
      <w:r>
        <w:rPr>
          <w:rFonts w:hint="default"/>
          <w:b/>
          <w:bCs/>
          <w:lang w:val="en-US"/>
        </w:rPr>
        <w:t>Rs.3 Crore</w:t>
      </w:r>
    </w:p>
    <w:p w14:paraId="52129F22">
      <w:pPr>
        <w:pStyle w:val="4"/>
        <w:numPr>
          <w:ilvl w:val="0"/>
          <w:numId w:val="1"/>
        </w:numPr>
        <w:ind w:left="240" w:leftChars="0" w:hanging="240" w:hangingChars="100"/>
        <w:rPr>
          <w:b w:val="0"/>
          <w:bCs/>
        </w:rPr>
      </w:pPr>
      <w:r>
        <w:rPr>
          <w:rFonts w:hint="default"/>
          <w:b w:val="0"/>
          <w:bCs/>
          <w:lang w:val="en-US"/>
        </w:rPr>
        <w:t xml:space="preserve">None of </w:t>
      </w:r>
      <w:r>
        <w:rPr>
          <w:b w:val="0"/>
          <w:bCs/>
        </w:rPr>
        <w:t>the alternative</w:t>
      </w:r>
    </w:p>
    <w:p w14:paraId="198B7C2D">
      <w:pPr>
        <w:pStyle w:val="4"/>
        <w:ind w:left="241" w:leftChars="0" w:hanging="241" w:hangingChars="100"/>
        <w:rPr>
          <w:b/>
        </w:rPr>
      </w:pPr>
    </w:p>
    <w:p w14:paraId="0F2A6C9A">
      <w:pPr>
        <w:ind w:left="240" w:leftChars="0" w:hanging="240" w:hangingChars="100"/>
      </w:pPr>
      <w:r>
        <w:t xml:space="preserve">Q 2 The </w:t>
      </w:r>
      <w:r>
        <w:rPr>
          <w:rFonts w:hint="default"/>
          <w:lang w:val="en-US"/>
        </w:rPr>
        <w:t>rate of TCS for the receipt of Travelling expenses by the organiser for the purpose of education towards a limit of Rs.7 lac is</w:t>
      </w:r>
    </w:p>
    <w:p w14:paraId="56AF77CA">
      <w:pPr>
        <w:pStyle w:val="4"/>
        <w:numPr>
          <w:ilvl w:val="0"/>
          <w:numId w:val="2"/>
        </w:numPr>
        <w:ind w:left="240" w:leftChars="0" w:hanging="240" w:hangingChars="100"/>
      </w:pPr>
      <w:r>
        <w:rPr>
          <w:rFonts w:hint="default"/>
          <w:lang w:val="en-US"/>
        </w:rPr>
        <w:t>2%</w:t>
      </w:r>
    </w:p>
    <w:p w14:paraId="26FCDB60">
      <w:pPr>
        <w:pStyle w:val="4"/>
        <w:numPr>
          <w:ilvl w:val="0"/>
          <w:numId w:val="2"/>
        </w:numPr>
        <w:ind w:left="240" w:leftChars="0" w:hanging="240" w:hangingChars="100"/>
      </w:pPr>
      <w:r>
        <w:rPr>
          <w:rFonts w:hint="default"/>
          <w:lang w:val="en-US"/>
        </w:rPr>
        <w:t>5%</w:t>
      </w:r>
      <w:r>
        <w:t xml:space="preserve"> Correct</w:t>
      </w:r>
    </w:p>
    <w:p w14:paraId="7D84CB03">
      <w:pPr>
        <w:pStyle w:val="4"/>
        <w:numPr>
          <w:ilvl w:val="0"/>
          <w:numId w:val="2"/>
        </w:numPr>
        <w:ind w:left="240" w:leftChars="0" w:hanging="240" w:hangingChars="100"/>
      </w:pPr>
      <w:r>
        <w:rPr>
          <w:rFonts w:hint="default"/>
          <w:lang w:val="en-US"/>
        </w:rPr>
        <w:t>20%</w:t>
      </w:r>
    </w:p>
    <w:p w14:paraId="6405EF08">
      <w:pPr>
        <w:pStyle w:val="4"/>
        <w:numPr>
          <w:ilvl w:val="0"/>
          <w:numId w:val="2"/>
        </w:numPr>
        <w:ind w:left="241" w:leftChars="0" w:hanging="241" w:hangingChars="100"/>
        <w:rPr>
          <w:b/>
        </w:rPr>
      </w:pPr>
      <w:r>
        <w:rPr>
          <w:b/>
        </w:rPr>
        <w:t xml:space="preserve">None of the alternative </w:t>
      </w:r>
    </w:p>
    <w:p w14:paraId="7B0601F7">
      <w:pPr>
        <w:pStyle w:val="4"/>
        <w:ind w:left="241" w:leftChars="0" w:hanging="241" w:hangingChars="100"/>
        <w:rPr>
          <w:b/>
        </w:rPr>
      </w:pPr>
    </w:p>
    <w:p w14:paraId="0AA3F2F6">
      <w:pPr>
        <w:ind w:left="240" w:leftChars="0" w:hanging="240" w:hangingChars="100"/>
      </w:pPr>
      <w:r>
        <w:t xml:space="preserve">Q 3. </w:t>
      </w:r>
      <w:r>
        <w:rPr>
          <w:rFonts w:hint="default"/>
          <w:lang w:val="en-US"/>
        </w:rPr>
        <w:t>The deductor failed to deduct tax will face the consequences of</w:t>
      </w:r>
    </w:p>
    <w:p w14:paraId="0F35D508">
      <w:pPr>
        <w:pStyle w:val="4"/>
        <w:numPr>
          <w:ilvl w:val="0"/>
          <w:numId w:val="3"/>
        </w:numPr>
        <w:ind w:left="240" w:leftChars="0" w:hanging="240" w:hangingChars="100"/>
      </w:pPr>
      <w:r>
        <w:rPr>
          <w:rFonts w:hint="default"/>
          <w:lang w:val="en-US"/>
        </w:rPr>
        <w:t xml:space="preserve"> </w:t>
      </w:r>
      <w:r>
        <w:t>P</w:t>
      </w:r>
      <w:r>
        <w:rPr>
          <w:rFonts w:hint="default"/>
          <w:lang w:val="en-US"/>
        </w:rPr>
        <w:t>ayment of interest @1.5% P.M.</w:t>
      </w:r>
    </w:p>
    <w:p w14:paraId="27AF9B78">
      <w:pPr>
        <w:pStyle w:val="4"/>
        <w:numPr>
          <w:ilvl w:val="0"/>
          <w:numId w:val="3"/>
        </w:numPr>
        <w:ind w:left="240" w:leftChars="0" w:hanging="240" w:hangingChars="100"/>
        <w:rPr>
          <w:b/>
        </w:rPr>
      </w:pPr>
      <w:r>
        <w:rPr>
          <w:rFonts w:hint="default"/>
          <w:lang w:val="en-US"/>
        </w:rPr>
        <w:t xml:space="preserve"> Late Fees for delayed filing of TDS Return</w:t>
      </w:r>
    </w:p>
    <w:p w14:paraId="2DEB46EF">
      <w:pPr>
        <w:pStyle w:val="4"/>
        <w:numPr>
          <w:ilvl w:val="0"/>
          <w:numId w:val="3"/>
        </w:numPr>
        <w:ind w:left="240" w:leftChars="0" w:hanging="240" w:hangingChars="100"/>
        <w:rPr>
          <w:b w:val="0"/>
          <w:bCs/>
        </w:rPr>
      </w:pPr>
      <w:r>
        <w:rPr>
          <w:rFonts w:hint="default"/>
          <w:b w:val="0"/>
          <w:bCs/>
          <w:lang w:val="en-US"/>
        </w:rPr>
        <w:t xml:space="preserve"> Penalty for non deduction of tax and payment</w:t>
      </w:r>
    </w:p>
    <w:p w14:paraId="2176271E">
      <w:pPr>
        <w:pStyle w:val="4"/>
        <w:numPr>
          <w:ilvl w:val="0"/>
          <w:numId w:val="3"/>
        </w:numPr>
        <w:ind w:left="241" w:leftChars="0" w:hanging="241" w:hangingChars="100"/>
        <w:rPr>
          <w:rFonts w:hint="default"/>
          <w:lang w:val="en-US"/>
        </w:rPr>
      </w:pPr>
      <w:r>
        <w:rPr>
          <w:rFonts w:hint="default"/>
          <w:b/>
          <w:lang w:val="en-US"/>
        </w:rPr>
        <w:t xml:space="preserve"> All the alternatives</w:t>
      </w:r>
    </w:p>
    <w:p w14:paraId="5EBF24B6">
      <w:pPr>
        <w:pStyle w:val="4"/>
        <w:numPr>
          <w:numId w:val="0"/>
        </w:numPr>
        <w:ind w:left="240" w:leftChars="0" w:hanging="240" w:hangingChars="100"/>
        <w:rPr>
          <w:rFonts w:hint="default"/>
          <w:lang w:val="en-US"/>
        </w:rPr>
      </w:pPr>
    </w:p>
    <w:p w14:paraId="228FC5C8">
      <w:pPr>
        <w:ind w:left="240" w:leftChars="0" w:hanging="240" w:hangingChars="100"/>
      </w:pPr>
      <w:r>
        <w:t xml:space="preserve">Q 4. </w:t>
      </w:r>
      <w:r>
        <w:rPr>
          <w:rFonts w:hint="default"/>
          <w:lang w:val="en-US"/>
        </w:rPr>
        <w:t>As per recent amendment the rate of TCS U/s 206(1G) on Foreign travelling excluding education and medical purpose is</w:t>
      </w:r>
    </w:p>
    <w:p w14:paraId="59360B85">
      <w:pPr>
        <w:pStyle w:val="4"/>
        <w:numPr>
          <w:ilvl w:val="0"/>
          <w:numId w:val="4"/>
        </w:numPr>
        <w:ind w:left="240" w:leftChars="0" w:hanging="240" w:hangingChars="100"/>
      </w:pPr>
      <w:r>
        <w:rPr>
          <w:rFonts w:hint="default"/>
          <w:lang w:val="en-US"/>
        </w:rPr>
        <w:t>5%</w:t>
      </w:r>
    </w:p>
    <w:p w14:paraId="7FAA72A9">
      <w:pPr>
        <w:pStyle w:val="4"/>
        <w:numPr>
          <w:ilvl w:val="0"/>
          <w:numId w:val="4"/>
        </w:numPr>
        <w:ind w:left="240" w:leftChars="0" w:hanging="240" w:hangingChars="100"/>
      </w:pPr>
      <w:r>
        <w:rPr>
          <w:rFonts w:hint="default"/>
          <w:lang w:val="en-US"/>
        </w:rPr>
        <w:t>10%</w:t>
      </w:r>
    </w:p>
    <w:p w14:paraId="1B63FF75">
      <w:pPr>
        <w:pStyle w:val="4"/>
        <w:numPr>
          <w:ilvl w:val="0"/>
          <w:numId w:val="4"/>
        </w:numPr>
        <w:ind w:left="240" w:leftChars="0" w:hanging="240" w:hangingChars="100"/>
      </w:pPr>
      <w:r>
        <w:rPr>
          <w:rFonts w:hint="default"/>
          <w:lang w:val="en-US"/>
        </w:rPr>
        <w:t>15%</w:t>
      </w:r>
      <w:r>
        <w:t xml:space="preserve"> </w:t>
      </w:r>
    </w:p>
    <w:p w14:paraId="674D552D">
      <w:pPr>
        <w:pStyle w:val="4"/>
        <w:numPr>
          <w:ilvl w:val="0"/>
          <w:numId w:val="4"/>
        </w:numPr>
        <w:ind w:left="241" w:leftChars="0" w:hanging="241" w:hangingChars="100"/>
        <w:rPr>
          <w:b/>
        </w:rPr>
      </w:pPr>
      <w:r>
        <w:rPr>
          <w:rFonts w:hint="default"/>
          <w:b/>
          <w:lang w:val="en-US"/>
        </w:rPr>
        <w:t>20%</w:t>
      </w:r>
    </w:p>
    <w:p w14:paraId="79CF42C1">
      <w:pPr>
        <w:pStyle w:val="4"/>
        <w:ind w:left="241" w:leftChars="0" w:hanging="241" w:hangingChars="100"/>
        <w:rPr>
          <w:b/>
        </w:rPr>
      </w:pPr>
    </w:p>
    <w:p w14:paraId="569F3841">
      <w:pPr>
        <w:ind w:left="240" w:leftChars="0" w:hanging="240" w:hangingChars="100"/>
        <w:rPr>
          <w:rFonts w:hint="default"/>
          <w:lang w:val="en-US"/>
        </w:rPr>
      </w:pPr>
      <w:r>
        <w:t xml:space="preserve">Q 5 </w:t>
      </w:r>
      <w:r>
        <w:rPr>
          <w:rFonts w:hint="default"/>
        </w:rPr>
        <w:t>Introduction of withholding tax provisions for income from online gaming</w:t>
      </w:r>
      <w:r>
        <w:rPr>
          <w:rFonts w:hint="default"/>
          <w:lang w:val="en-US"/>
        </w:rPr>
        <w:t xml:space="preserve"> U/s </w:t>
      </w:r>
      <w:r>
        <w:rPr>
          <w:rFonts w:hint="default"/>
        </w:rPr>
        <w:t xml:space="preserve">194BA </w:t>
      </w:r>
      <w:r>
        <w:rPr>
          <w:rFonts w:hint="default"/>
          <w:lang w:val="en-US"/>
        </w:rPr>
        <w:t>is</w:t>
      </w:r>
    </w:p>
    <w:p w14:paraId="1F3C1CE1"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textAlignment w:val="auto"/>
      </w:pPr>
      <w:r>
        <w:rPr>
          <w:rFonts w:hint="default"/>
          <w:lang w:val="en-US"/>
        </w:rPr>
        <w:t>effected from the A.Y. 2022-23</w:t>
      </w:r>
    </w:p>
    <w:p w14:paraId="482CD16F"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1" w:leftChars="0" w:hanging="241" w:hangingChars="100"/>
        <w:textAlignment w:val="auto"/>
        <w:rPr>
          <w:b/>
          <w:bCs/>
        </w:rPr>
      </w:pPr>
      <w:r>
        <w:rPr>
          <w:rFonts w:hint="default"/>
          <w:b/>
          <w:bCs/>
          <w:lang w:val="en-US"/>
        </w:rPr>
        <w:t>effected from the A.Y. 2023-24</w:t>
      </w:r>
    </w:p>
    <w:p w14:paraId="36ACD522"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textAlignment w:val="auto"/>
      </w:pPr>
      <w:r>
        <w:rPr>
          <w:rFonts w:hint="default"/>
          <w:lang w:val="en-US"/>
        </w:rPr>
        <w:t>effected from the A.Y. 2024-25</w:t>
      </w:r>
    </w:p>
    <w:p w14:paraId="61458077"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textAlignment w:val="auto"/>
      </w:pPr>
      <w:r>
        <w:t>None of the alternative</w:t>
      </w:r>
    </w:p>
    <w:p w14:paraId="2014BE37">
      <w:pPr>
        <w:pStyle w:val="4"/>
        <w:ind w:left="240" w:leftChars="0" w:hanging="240" w:hangingChars="100"/>
      </w:pPr>
    </w:p>
    <w:p w14:paraId="5E8F829E">
      <w:pPr>
        <w:ind w:left="240" w:leftChars="0" w:hanging="240" w:hangingChars="100"/>
      </w:pPr>
      <w:r>
        <w:t xml:space="preserve">Q 6 </w:t>
      </w:r>
      <w:r>
        <w:rPr>
          <w:rFonts w:hint="default"/>
          <w:lang w:val="en-US"/>
        </w:rPr>
        <w:t xml:space="preserve"> Till the A.Y. 2022-23 the TDS is applicable on interest payable on listed securities in dematerialized form is</w:t>
      </w:r>
    </w:p>
    <w:p w14:paraId="07282875">
      <w:pPr>
        <w:pStyle w:val="4"/>
        <w:numPr>
          <w:ilvl w:val="0"/>
          <w:numId w:val="6"/>
        </w:numPr>
        <w:ind w:left="240" w:leftChars="0" w:hanging="240" w:hangingChars="100"/>
      </w:pPr>
      <w:r>
        <w:rPr>
          <w:rFonts w:hint="default"/>
          <w:lang w:val="en-US"/>
        </w:rPr>
        <w:t>Absolutely correct</w:t>
      </w:r>
    </w:p>
    <w:p w14:paraId="09599FE3">
      <w:pPr>
        <w:pStyle w:val="4"/>
        <w:numPr>
          <w:ilvl w:val="0"/>
          <w:numId w:val="6"/>
        </w:numPr>
        <w:ind w:left="240" w:leftChars="0" w:hanging="240" w:hangingChars="100"/>
      </w:pPr>
      <w:r>
        <w:rPr>
          <w:rFonts w:hint="default"/>
          <w:lang w:val="en-US"/>
        </w:rPr>
        <w:t>Partially correct</w:t>
      </w:r>
    </w:p>
    <w:p w14:paraId="54EFC21C">
      <w:pPr>
        <w:pStyle w:val="4"/>
        <w:numPr>
          <w:ilvl w:val="0"/>
          <w:numId w:val="6"/>
        </w:numPr>
        <w:ind w:left="241" w:leftChars="0" w:hanging="241" w:hangingChars="100"/>
        <w:rPr>
          <w:b/>
          <w:bCs/>
        </w:rPr>
      </w:pPr>
      <w:r>
        <w:rPr>
          <w:rFonts w:hint="default"/>
          <w:b/>
          <w:bCs/>
          <w:lang w:val="en-US"/>
        </w:rPr>
        <w:t>Not correct at all</w:t>
      </w:r>
    </w:p>
    <w:p w14:paraId="426F31FE">
      <w:pPr>
        <w:pStyle w:val="4"/>
        <w:numPr>
          <w:ilvl w:val="0"/>
          <w:numId w:val="6"/>
        </w:numPr>
        <w:ind w:left="241" w:leftChars="0" w:hanging="241" w:hangingChars="100"/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 xml:space="preserve"> </w:t>
      </w:r>
      <w:r>
        <w:rPr>
          <w:rFonts w:hint="default"/>
          <w:b w:val="0"/>
          <w:bCs w:val="0"/>
          <w:lang w:val="en-US"/>
        </w:rPr>
        <w:t>Covered</w:t>
      </w:r>
      <w:r>
        <w:rPr>
          <w:rFonts w:hint="default"/>
          <w:b/>
          <w:bCs/>
          <w:lang w:val="en-US"/>
        </w:rPr>
        <w:t xml:space="preserve"> </w:t>
      </w:r>
      <w:r>
        <w:rPr>
          <w:rFonts w:hint="default"/>
          <w:b w:val="0"/>
          <w:bCs/>
          <w:lang w:val="en-US"/>
        </w:rPr>
        <w:t>U/s 10(23D)</w:t>
      </w:r>
    </w:p>
    <w:p w14:paraId="6E4DC03E">
      <w:pPr>
        <w:pStyle w:val="4"/>
        <w:numPr>
          <w:numId w:val="0"/>
        </w:numPr>
        <w:ind w:left="240" w:leftChars="0" w:hanging="240" w:hangingChars="100"/>
        <w:rPr>
          <w:rFonts w:hint="default"/>
          <w:lang w:val="en-US"/>
        </w:rPr>
      </w:pPr>
    </w:p>
    <w:p w14:paraId="02D36C68">
      <w:pPr>
        <w:ind w:left="240" w:leftChars="0" w:hanging="240" w:hangingChars="100"/>
        <w:rPr>
          <w:rFonts w:hint="default"/>
          <w:lang w:val="en-US"/>
        </w:rPr>
      </w:pPr>
      <w:r>
        <w:t xml:space="preserve">Q 7 . </w:t>
      </w:r>
      <w:r>
        <w:rPr>
          <w:rFonts w:hint="default"/>
        </w:rPr>
        <w:t>Benefit of tax treaty rate extended to specified income earned by non-residents</w:t>
      </w:r>
      <w:r>
        <w:rPr>
          <w:rFonts w:hint="default"/>
          <w:lang w:val="en-US"/>
        </w:rPr>
        <w:t xml:space="preserve"> covered ___</w:t>
      </w:r>
    </w:p>
    <w:p w14:paraId="54B3CA89">
      <w:pPr>
        <w:pStyle w:val="4"/>
        <w:numPr>
          <w:ilvl w:val="0"/>
          <w:numId w:val="7"/>
        </w:numPr>
        <w:ind w:left="241" w:leftChars="0" w:hanging="241" w:hangingChars="100"/>
        <w:rPr>
          <w:b/>
          <w:bCs/>
        </w:rPr>
      </w:pPr>
      <w:r>
        <w:rPr>
          <w:rFonts w:hint="default"/>
          <w:b/>
          <w:bCs/>
          <w:lang w:val="en-US"/>
        </w:rPr>
        <w:t>U/s 196A</w:t>
      </w:r>
    </w:p>
    <w:p w14:paraId="7D0D5984">
      <w:pPr>
        <w:pStyle w:val="4"/>
        <w:numPr>
          <w:ilvl w:val="0"/>
          <w:numId w:val="7"/>
        </w:numPr>
        <w:ind w:left="240" w:leftChars="0" w:hanging="240" w:hangingChars="100"/>
      </w:pPr>
      <w:r>
        <w:rPr>
          <w:rFonts w:hint="default"/>
          <w:lang w:val="en-US"/>
        </w:rPr>
        <w:t>U/s 196B</w:t>
      </w:r>
    </w:p>
    <w:p w14:paraId="6275A9E8">
      <w:pPr>
        <w:pStyle w:val="4"/>
        <w:numPr>
          <w:ilvl w:val="0"/>
          <w:numId w:val="7"/>
        </w:numPr>
        <w:ind w:left="240" w:leftChars="0" w:hanging="240" w:hangingChars="100"/>
        <w:rPr>
          <w:b w:val="0"/>
          <w:bCs/>
        </w:rPr>
      </w:pPr>
      <w:r>
        <w:rPr>
          <w:rFonts w:hint="default"/>
          <w:b w:val="0"/>
          <w:bCs/>
          <w:lang w:val="en-US"/>
        </w:rPr>
        <w:t>U/s 196C</w:t>
      </w:r>
    </w:p>
    <w:p w14:paraId="6C7C43F4">
      <w:pPr>
        <w:pStyle w:val="4"/>
        <w:numPr>
          <w:ilvl w:val="0"/>
          <w:numId w:val="7"/>
        </w:numPr>
        <w:ind w:left="240" w:leftChars="0" w:hanging="240" w:hangingChars="100"/>
        <w:rPr>
          <w:b w:val="0"/>
          <w:bCs/>
        </w:rPr>
      </w:pPr>
      <w:r>
        <w:rPr>
          <w:b w:val="0"/>
          <w:bCs/>
        </w:rPr>
        <w:t>None of the alternative</w:t>
      </w:r>
    </w:p>
    <w:p w14:paraId="3C6B2C6D">
      <w:pPr>
        <w:ind w:left="240" w:leftChars="0" w:hanging="240" w:hangingChars="100"/>
        <w:rPr>
          <w:b w:val="0"/>
          <w:bCs/>
        </w:rPr>
      </w:pPr>
    </w:p>
    <w:p w14:paraId="24D636D8">
      <w:pPr>
        <w:ind w:left="240" w:leftChars="0" w:hanging="240" w:hangingChars="100"/>
      </w:pPr>
      <w:r>
        <w:t xml:space="preserve">Q 8 . </w:t>
      </w:r>
      <w:r>
        <w:rPr>
          <w:rFonts w:hint="default"/>
          <w:lang w:val="en-US"/>
        </w:rPr>
        <w:t>W.e.f. 01.04.2023 the e</w:t>
      </w:r>
      <w:r>
        <w:rPr>
          <w:rFonts w:hint="default"/>
        </w:rPr>
        <w:t xml:space="preserve">xtension of Section 197 </w:t>
      </w:r>
      <w:r>
        <w:rPr>
          <w:rFonts w:hint="default"/>
          <w:lang w:val="en-US"/>
        </w:rPr>
        <w:t xml:space="preserve">is also made </w:t>
      </w:r>
      <w:r>
        <w:rPr>
          <w:rFonts w:hint="default"/>
        </w:rPr>
        <w:t>to include Section 194LBA</w:t>
      </w:r>
    </w:p>
    <w:p w14:paraId="59037416">
      <w:pPr>
        <w:pStyle w:val="4"/>
        <w:numPr>
          <w:ilvl w:val="0"/>
          <w:numId w:val="8"/>
        </w:numPr>
        <w:ind w:left="0" w:leftChars="0" w:firstLine="0" w:firstLineChars="0"/>
        <w:rPr>
          <w:b/>
          <w:bCs/>
        </w:rPr>
      </w:pPr>
      <w:r>
        <w:rPr>
          <w:rFonts w:hint="default"/>
          <w:b/>
          <w:bCs/>
          <w:lang w:val="en-US"/>
        </w:rPr>
        <w:t>Absolutely correct</w:t>
      </w:r>
    </w:p>
    <w:p w14:paraId="2C67655D">
      <w:pPr>
        <w:pStyle w:val="4"/>
        <w:numPr>
          <w:ilvl w:val="0"/>
          <w:numId w:val="8"/>
        </w:numPr>
        <w:ind w:left="0" w:leftChars="0" w:firstLine="0" w:firstLineChars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Partially correct</w:t>
      </w:r>
    </w:p>
    <w:p w14:paraId="62C637CF">
      <w:pPr>
        <w:pStyle w:val="4"/>
        <w:numPr>
          <w:ilvl w:val="0"/>
          <w:numId w:val="8"/>
        </w:numPr>
        <w:ind w:left="0" w:leftChars="0" w:firstLine="0" w:firstLineChars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 xml:space="preserve"> Not correct at all</w:t>
      </w:r>
    </w:p>
    <w:p w14:paraId="4732BEFB">
      <w:pPr>
        <w:pStyle w:val="4"/>
        <w:numPr>
          <w:ilvl w:val="0"/>
          <w:numId w:val="8"/>
        </w:numPr>
        <w:ind w:left="0" w:leftChars="0" w:firstLine="0" w:firstLineChars="0"/>
        <w:rPr>
          <w:b w:val="0"/>
          <w:bCs w:val="0"/>
        </w:rPr>
      </w:pPr>
      <w:r>
        <w:rPr>
          <w:rFonts w:hint="default"/>
          <w:b w:val="0"/>
          <w:bCs w:val="0"/>
          <w:lang w:val="en-US"/>
        </w:rPr>
        <w:t>Effected from 01.09.2023</w:t>
      </w:r>
    </w:p>
    <w:p w14:paraId="6C616954">
      <w:pPr>
        <w:ind w:left="240" w:leftChars="0" w:hanging="240" w:hangingChars="100"/>
      </w:pPr>
    </w:p>
    <w:p w14:paraId="4355351E">
      <w:pPr>
        <w:ind w:left="240" w:leftChars="0" w:hanging="240" w:hangingChars="100"/>
      </w:pPr>
      <w:r>
        <w:t>Q 9</w:t>
      </w:r>
      <w:r>
        <w:rPr>
          <w:rFonts w:hint="default"/>
          <w:lang w:val="en-US"/>
        </w:rPr>
        <w:t xml:space="preserve"> Section 197 is not covered for the procedural operation U/s____</w:t>
      </w:r>
    </w:p>
    <w:p w14:paraId="255DF838">
      <w:pPr>
        <w:pStyle w:val="4"/>
        <w:numPr>
          <w:ilvl w:val="0"/>
          <w:numId w:val="9"/>
        </w:numPr>
        <w:ind w:left="240" w:leftChars="0" w:hanging="240" w:hangingChars="100"/>
      </w:pPr>
      <w:r>
        <w:rPr>
          <w:rFonts w:hint="default"/>
          <w:lang w:val="en-US"/>
        </w:rPr>
        <w:t>194M and 194N</w:t>
      </w:r>
    </w:p>
    <w:p w14:paraId="0F05312C">
      <w:pPr>
        <w:pStyle w:val="4"/>
        <w:numPr>
          <w:ilvl w:val="0"/>
          <w:numId w:val="9"/>
        </w:numPr>
        <w:ind w:left="241" w:leftChars="0" w:hanging="241" w:hangingChars="100"/>
        <w:rPr>
          <w:b/>
          <w:bCs/>
        </w:rPr>
      </w:pPr>
      <w:r>
        <w:rPr>
          <w:rFonts w:hint="default"/>
          <w:b/>
          <w:bCs/>
          <w:lang w:val="en-US"/>
        </w:rPr>
        <w:t>194R and 194Q</w:t>
      </w:r>
    </w:p>
    <w:p w14:paraId="3DD549C8">
      <w:pPr>
        <w:pStyle w:val="4"/>
        <w:numPr>
          <w:ilvl w:val="0"/>
          <w:numId w:val="9"/>
        </w:numPr>
        <w:ind w:left="240" w:leftChars="0" w:hanging="240" w:hangingChars="100"/>
      </w:pPr>
      <w:r>
        <w:rPr>
          <w:rFonts w:hint="default"/>
          <w:lang w:val="en-US"/>
        </w:rPr>
        <w:t>194R and 194P</w:t>
      </w:r>
    </w:p>
    <w:p w14:paraId="6D204915">
      <w:pPr>
        <w:pStyle w:val="4"/>
        <w:numPr>
          <w:ilvl w:val="0"/>
          <w:numId w:val="9"/>
        </w:numPr>
        <w:ind w:left="240" w:leftChars="0" w:hanging="240" w:hangingChars="100"/>
        <w:rPr>
          <w:b w:val="0"/>
          <w:bCs/>
        </w:rPr>
      </w:pPr>
      <w:r>
        <w:rPr>
          <w:rFonts w:hint="default"/>
          <w:b w:val="0"/>
          <w:bCs/>
          <w:lang w:val="en-US"/>
        </w:rPr>
        <w:t>None of the alternat</w:t>
      </w:r>
      <w:r>
        <w:rPr>
          <w:b w:val="0"/>
          <w:bCs/>
        </w:rPr>
        <w:t>ive</w:t>
      </w:r>
    </w:p>
    <w:p w14:paraId="02FC35C0">
      <w:pPr>
        <w:pStyle w:val="4"/>
        <w:numPr>
          <w:numId w:val="0"/>
        </w:numPr>
        <w:ind w:leftChars="-100"/>
        <w:rPr>
          <w:b w:val="0"/>
          <w:bCs/>
        </w:rPr>
      </w:pPr>
    </w:p>
    <w:p w14:paraId="37F5F86E">
      <w:pPr>
        <w:ind w:left="240" w:leftChars="0" w:hanging="240" w:hangingChars="100"/>
        <w:rPr>
          <w:rFonts w:hint="default"/>
          <w:lang w:val="en-US"/>
        </w:rPr>
      </w:pPr>
      <w:r>
        <w:t xml:space="preserve">Q 10 </w:t>
      </w:r>
      <w:r>
        <w:rPr>
          <w:rFonts w:hint="default"/>
        </w:rPr>
        <w:t xml:space="preserve">Introduction of Section 155(20) </w:t>
      </w:r>
      <w:r>
        <w:rPr>
          <w:rFonts w:hint="default"/>
          <w:lang w:val="en-US"/>
        </w:rPr>
        <w:t xml:space="preserve"> in respect of</w:t>
      </w:r>
      <w:r>
        <w:rPr>
          <w:rFonts w:hint="default"/>
        </w:rPr>
        <w:t xml:space="preserve"> TDS credit in the year in which income is offered to tax</w:t>
      </w:r>
      <w:r>
        <w:rPr>
          <w:rFonts w:hint="default"/>
          <w:lang w:val="en-US"/>
        </w:rPr>
        <w:t xml:space="preserve"> is made w.e.f the Assessment Year ________</w:t>
      </w:r>
    </w:p>
    <w:p w14:paraId="13E330F1">
      <w:pPr>
        <w:pStyle w:val="4"/>
        <w:numPr>
          <w:ilvl w:val="0"/>
          <w:numId w:val="10"/>
        </w:numPr>
        <w:ind w:left="240" w:leftChars="0" w:hanging="240" w:hangingChars="100"/>
      </w:pPr>
      <w:r>
        <w:rPr>
          <w:rFonts w:hint="default"/>
          <w:lang w:val="en-US"/>
        </w:rPr>
        <w:t>2022-23</w:t>
      </w:r>
    </w:p>
    <w:p w14:paraId="7B42483B">
      <w:pPr>
        <w:pStyle w:val="4"/>
        <w:numPr>
          <w:ilvl w:val="0"/>
          <w:numId w:val="10"/>
        </w:numPr>
        <w:ind w:left="241" w:leftChars="0" w:hanging="241" w:hangingChars="100"/>
        <w:rPr>
          <w:b/>
          <w:bCs/>
        </w:rPr>
      </w:pPr>
      <w:r>
        <w:rPr>
          <w:rFonts w:hint="default"/>
          <w:b/>
          <w:bCs/>
          <w:lang w:val="en-US"/>
        </w:rPr>
        <w:t>2023-24</w:t>
      </w:r>
    </w:p>
    <w:p w14:paraId="47E60CC7">
      <w:pPr>
        <w:pStyle w:val="4"/>
        <w:numPr>
          <w:ilvl w:val="0"/>
          <w:numId w:val="10"/>
        </w:numPr>
        <w:ind w:left="240" w:leftChars="0" w:hanging="240" w:hangingChars="100"/>
      </w:pPr>
      <w:r>
        <w:rPr>
          <w:rFonts w:hint="default"/>
          <w:lang w:val="en-US"/>
        </w:rPr>
        <w:t>2024-25</w:t>
      </w:r>
      <w:r>
        <w:t xml:space="preserve"> </w:t>
      </w:r>
    </w:p>
    <w:p w14:paraId="586ABACE">
      <w:pPr>
        <w:pStyle w:val="4"/>
        <w:numPr>
          <w:ilvl w:val="0"/>
          <w:numId w:val="10"/>
        </w:numPr>
        <w:ind w:left="480" w:leftChars="0" w:hanging="480" w:firstLineChars="0"/>
        <w:rPr>
          <w:b w:val="0"/>
          <w:bCs/>
          <w:i w:val="0"/>
          <w:iCs w:val="0"/>
        </w:rPr>
      </w:pPr>
      <w:r>
        <w:rPr>
          <w:b w:val="0"/>
          <w:bCs/>
          <w:i w:val="0"/>
          <w:iCs w:val="0"/>
        </w:rPr>
        <w:t xml:space="preserve"> </w:t>
      </w:r>
      <w:r>
        <w:rPr>
          <w:rFonts w:hint="default"/>
          <w:b w:val="0"/>
          <w:bCs/>
          <w:i w:val="0"/>
          <w:iCs w:val="0"/>
          <w:lang w:val="en-US"/>
        </w:rPr>
        <w:t>None of</w:t>
      </w:r>
      <w:r>
        <w:rPr>
          <w:b w:val="0"/>
          <w:bCs/>
          <w:i w:val="0"/>
          <w:iCs w:val="0"/>
        </w:rPr>
        <w:t xml:space="preserve"> the alternative</w:t>
      </w:r>
    </w:p>
    <w:p w14:paraId="3FF43B09">
      <w:pPr>
        <w:pStyle w:val="4"/>
        <w:numPr>
          <w:numId w:val="0"/>
        </w:numPr>
        <w:ind w:leftChars="0"/>
        <w:rPr>
          <w:b w:val="0"/>
          <w:bCs/>
          <w:i w:val="0"/>
          <w:iCs w:val="0"/>
        </w:rPr>
      </w:pPr>
    </w:p>
    <w:sectPr>
      <w:pgSz w:w="12240" w:h="15840"/>
      <w:pgMar w:top="284" w:right="1440" w:bottom="28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CA17B"/>
    <w:multiLevelType w:val="singleLevel"/>
    <w:tmpl w:val="DDCCA17B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5F75199"/>
    <w:multiLevelType w:val="multilevel"/>
    <w:tmpl w:val="15F75199"/>
    <w:lvl w:ilvl="0" w:tentative="0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2104C2A"/>
    <w:multiLevelType w:val="multilevel"/>
    <w:tmpl w:val="32104C2A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A0206"/>
    <w:multiLevelType w:val="multilevel"/>
    <w:tmpl w:val="324A0206"/>
    <w:lvl w:ilvl="0" w:tentative="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BE7EB8"/>
    <w:multiLevelType w:val="multilevel"/>
    <w:tmpl w:val="35BE7EB8"/>
    <w:lvl w:ilvl="0" w:tentative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5017EA0"/>
    <w:multiLevelType w:val="multilevel"/>
    <w:tmpl w:val="45017EA0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A65EC"/>
    <w:multiLevelType w:val="multilevel"/>
    <w:tmpl w:val="450A65EC"/>
    <w:lvl w:ilvl="0" w:tentative="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3397EB4"/>
    <w:multiLevelType w:val="multilevel"/>
    <w:tmpl w:val="53397EB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10176"/>
    <w:multiLevelType w:val="multilevel"/>
    <w:tmpl w:val="5C41017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775C6"/>
    <w:multiLevelType w:val="multilevel"/>
    <w:tmpl w:val="65F775C6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62"/>
    <w:rsid w:val="00035890"/>
    <w:rsid w:val="00293DC5"/>
    <w:rsid w:val="002D3B62"/>
    <w:rsid w:val="004A2692"/>
    <w:rsid w:val="005049A3"/>
    <w:rsid w:val="00521C2B"/>
    <w:rsid w:val="00AC5AC8"/>
    <w:rsid w:val="00ED16A3"/>
    <w:rsid w:val="00FD1B2E"/>
    <w:rsid w:val="01995D1E"/>
    <w:rsid w:val="0949137C"/>
    <w:rsid w:val="102111AF"/>
    <w:rsid w:val="28853887"/>
    <w:rsid w:val="2BD80AA1"/>
    <w:rsid w:val="321D3A49"/>
    <w:rsid w:val="376D5742"/>
    <w:rsid w:val="3E0F72E3"/>
    <w:rsid w:val="51E66B85"/>
    <w:rsid w:val="637A5C3D"/>
    <w:rsid w:val="6F7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60" w:lineRule="auto"/>
      <w:jc w:val="both"/>
    </w:pPr>
    <w:rPr>
      <w:rFonts w:ascii="Times New Roman" w:hAnsi="Times New Roman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1516</Characters>
  <Lines>12</Lines>
  <Paragraphs>3</Paragraphs>
  <TotalTime>20</TotalTime>
  <ScaleCrop>false</ScaleCrop>
  <LinksUpToDate>false</LinksUpToDate>
  <CharactersWithSpaces>1778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2024-05-29T09:28:00Z</dcterms:created>
  <dc:creator>Windows User</dc:creator>
  <cp:lastModifiedBy>Tapas Majumder</cp:lastModifiedBy>
  <dcterms:modified xsi:type="dcterms:W3CDTF">2024-06-12T06:29:17Z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0330E89EE5DB4B6EBD66944DF0BF2827_12</vt:lpwstr>
  </property>
</Properties>
</file>