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Verdana" w:hAnsi="Verdana" w:cs="Verdana"/>
          <w:b/>
          <w:bCs/>
          <w:sz w:val="22"/>
          <w:szCs w:val="22"/>
          <w:u w:val="single"/>
          <w:lang w:val="en-US"/>
        </w:rPr>
      </w:pPr>
      <w:r>
        <w:rPr>
          <w:rFonts w:hint="default" w:ascii="Verdana" w:hAnsi="Verdana" w:cs="Verdana"/>
          <w:b/>
          <w:bCs/>
          <w:sz w:val="22"/>
          <w:szCs w:val="22"/>
          <w:u w:val="single"/>
          <w:lang w:val="en-US"/>
        </w:rPr>
        <w:t>MCQ on TDS U/s 194DA,194E,194EE,194F,194G and 194H</w:t>
      </w:r>
    </w:p>
    <w:p>
      <w:pPr>
        <w:rPr>
          <w:rFonts w:hint="default" w:ascii="Verdana" w:hAnsi="Verdana" w:cs="Verdana"/>
          <w:b/>
          <w:bCs/>
          <w:sz w:val="22"/>
          <w:szCs w:val="22"/>
          <w:u w:val="single"/>
          <w:lang w:val="en-US"/>
        </w:rPr>
      </w:pPr>
      <w:r>
        <w:rPr>
          <w:rFonts w:hint="default" w:ascii="Verdana" w:hAnsi="Verdana" w:cs="Verdana"/>
          <w:b/>
          <w:bCs/>
          <w:sz w:val="22"/>
          <w:szCs w:val="22"/>
          <w:u w:val="single"/>
          <w:lang w:val="en-US"/>
        </w:rPr>
        <w:t>Correct alternative is in Bold character</w:t>
      </w:r>
    </w:p>
    <w:p>
      <w:pPr>
        <w:rPr>
          <w:rFonts w:hint="default" w:ascii="Verdana" w:hAnsi="Verdana" w:cs="Verdana"/>
          <w:b/>
          <w:bCs/>
          <w:sz w:val="22"/>
          <w:szCs w:val="22"/>
          <w:u w:val="single"/>
          <w:lang w:val="en-US"/>
        </w:rPr>
      </w:pPr>
    </w:p>
    <w:p>
      <w:pPr>
        <w:ind w:left="550" w:hanging="550" w:hangingChars="2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Q1. TDS on incentive received by an agent selling Lottery ticket from his organiser is applicable U/s______</w:t>
      </w:r>
    </w:p>
    <w:p>
      <w:pPr>
        <w:rPr>
          <w:rFonts w:hint="default" w:ascii="Verdana" w:hAnsi="Verdana" w:cs="Verdana"/>
          <w:b w:val="0"/>
          <w:bCs w:val="0"/>
          <w:sz w:val="22"/>
          <w:szCs w:val="22"/>
          <w:u w:val="none"/>
          <w:lang w:val="en-US"/>
        </w:rPr>
      </w:pPr>
    </w:p>
    <w:p>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Ans:a) 194K </w:t>
      </w:r>
    </w:p>
    <w:p>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b) </w:t>
      </w:r>
      <w:r>
        <w:rPr>
          <w:rFonts w:hint="default" w:ascii="Verdana" w:hAnsi="Verdana" w:cs="Verdana"/>
          <w:b/>
          <w:bCs/>
          <w:sz w:val="22"/>
          <w:szCs w:val="22"/>
          <w:u w:val="none"/>
          <w:lang w:val="en-US"/>
        </w:rPr>
        <w:t>194G</w:t>
      </w:r>
    </w:p>
    <w:p>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c) 194H</w:t>
      </w:r>
    </w:p>
    <w:p>
      <w:pPr>
        <w:rPr>
          <w:rFonts w:hint="default" w:ascii="Verdana" w:hAnsi="Verdana" w:cs="Verdana"/>
          <w:b/>
          <w:bCs/>
          <w:sz w:val="22"/>
          <w:szCs w:val="22"/>
          <w:u w:val="none"/>
          <w:lang w:val="en-US"/>
        </w:rPr>
      </w:pPr>
      <w:r>
        <w:rPr>
          <w:rFonts w:hint="default" w:ascii="Verdana" w:hAnsi="Verdana" w:cs="Verdana"/>
          <w:b w:val="0"/>
          <w:bCs w:val="0"/>
          <w:sz w:val="22"/>
          <w:szCs w:val="22"/>
          <w:u w:val="none"/>
          <w:lang w:val="en-US"/>
        </w:rPr>
        <w:t xml:space="preserve">       d) 194EE</w:t>
      </w:r>
    </w:p>
    <w:p>
      <w:pPr>
        <w:rPr>
          <w:rFonts w:hint="default" w:ascii="Verdana" w:hAnsi="Verdana" w:cs="Verdana"/>
          <w:b/>
          <w:bCs/>
          <w:sz w:val="22"/>
          <w:szCs w:val="22"/>
          <w:u w:val="none"/>
          <w:lang w:val="en-US"/>
        </w:rPr>
      </w:pPr>
    </w:p>
    <w:p>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Q2  Individual and HUF may be the deductor U/s 194G and 194H when</w:t>
      </w:r>
    </w:p>
    <w:p>
      <w:pPr>
        <w:rPr>
          <w:rFonts w:hint="default" w:ascii="Verdana" w:hAnsi="Verdana" w:cs="Verdana"/>
          <w:b w:val="0"/>
          <w:bCs w:val="0"/>
          <w:sz w:val="22"/>
          <w:szCs w:val="22"/>
          <w:u w:val="none"/>
          <w:lang w:val="en-US"/>
        </w:rPr>
      </w:pPr>
    </w:p>
    <w:p>
      <w:pPr>
        <w:numPr>
          <w:ilvl w:val="0"/>
          <w:numId w:val="1"/>
        </w:numPr>
        <w:ind w:left="464" w:leftChars="0" w:firstLine="0" w:firstLineChars="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Such Individual and HUF are covered U/s 44AB of the Act in respect of Section 194H and still unconditional U/s 194G except the threshold limit of Rs.15,000/- P.A.</w:t>
      </w:r>
    </w:p>
    <w:p>
      <w:pPr>
        <w:numPr>
          <w:ilvl w:val="0"/>
          <w:numId w:val="0"/>
        </w:numPr>
        <w:ind w:left="464" w:left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w:t>
      </w:r>
    </w:p>
    <w:p>
      <w:pPr>
        <w:numPr>
          <w:ilvl w:val="0"/>
          <w:numId w:val="1"/>
        </w:numPr>
        <w:ind w:left="464"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Individual will be unconditionally covered but HUF is not applicable therein except the annual threshold limit of Rs.15,000/- .</w:t>
      </w:r>
    </w:p>
    <w:p>
      <w:pPr>
        <w:numPr>
          <w:ilvl w:val="0"/>
          <w:numId w:val="0"/>
        </w:numPr>
        <w:ind w:left="464" w:leftChars="0"/>
        <w:rPr>
          <w:rFonts w:hint="default" w:ascii="Verdana" w:hAnsi="Verdana" w:cs="Verdana"/>
          <w:b w:val="0"/>
          <w:bCs w:val="0"/>
          <w:sz w:val="22"/>
          <w:szCs w:val="22"/>
          <w:u w:val="none"/>
          <w:lang w:val="en-US"/>
        </w:rPr>
      </w:pPr>
    </w:p>
    <w:p>
      <w:pPr>
        <w:numPr>
          <w:ilvl w:val="0"/>
          <w:numId w:val="1"/>
        </w:numPr>
        <w:ind w:left="464"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Such Individual and HUF are covered U/s 44AB of the Act in respect of both Section 194G as well as 194H except the threshold limit of Rs.15,000/- P.A. </w:t>
      </w:r>
    </w:p>
    <w:p>
      <w:pPr>
        <w:numPr>
          <w:ilvl w:val="0"/>
          <w:numId w:val="1"/>
        </w:numPr>
        <w:ind w:left="464"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pPr>
        <w:numPr>
          <w:ilvl w:val="0"/>
          <w:numId w:val="0"/>
        </w:numPr>
        <w:rPr>
          <w:rFonts w:hint="default" w:ascii="Verdana" w:hAnsi="Verdana" w:cs="Verdana"/>
          <w:b w:val="0"/>
          <w:bCs w:val="0"/>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Q3   Tax after deduction will be deposited within _________</w:t>
      </w:r>
    </w:p>
    <w:p>
      <w:pPr>
        <w:numPr>
          <w:ilvl w:val="0"/>
          <w:numId w:val="0"/>
        </w:numPr>
        <w:rPr>
          <w:rFonts w:hint="default" w:ascii="Verdana" w:hAnsi="Verdana" w:cs="Verdana"/>
          <w:b w:val="0"/>
          <w:bCs w:val="0"/>
          <w:sz w:val="22"/>
          <w:szCs w:val="22"/>
          <w:u w:val="none"/>
          <w:lang w:val="en-US"/>
        </w:rPr>
      </w:pPr>
    </w:p>
    <w:p>
      <w:pPr>
        <w:numPr>
          <w:ilvl w:val="0"/>
          <w:numId w:val="2"/>
        </w:numPr>
        <w:ind w:left="464"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30</w:t>
      </w:r>
      <w:r>
        <w:rPr>
          <w:rFonts w:hint="default" w:ascii="Verdana" w:hAnsi="Verdana" w:cs="Verdana"/>
          <w:b w:val="0"/>
          <w:bCs w:val="0"/>
          <w:sz w:val="22"/>
          <w:szCs w:val="22"/>
          <w:u w:val="none"/>
          <w:vertAlign w:val="superscript"/>
          <w:lang w:val="en-US"/>
        </w:rPr>
        <w:t>th</w:t>
      </w:r>
      <w:r>
        <w:rPr>
          <w:rFonts w:hint="default" w:ascii="Verdana" w:hAnsi="Verdana" w:cs="Verdana"/>
          <w:b w:val="0"/>
          <w:bCs w:val="0"/>
          <w:sz w:val="22"/>
          <w:szCs w:val="22"/>
          <w:u w:val="none"/>
          <w:lang w:val="en-US"/>
        </w:rPr>
        <w:t xml:space="preserve"> of the immediate succeeding month</w:t>
      </w:r>
    </w:p>
    <w:p>
      <w:pPr>
        <w:numPr>
          <w:ilvl w:val="0"/>
          <w:numId w:val="2"/>
        </w:numPr>
        <w:ind w:left="464"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20</w:t>
      </w:r>
      <w:r>
        <w:rPr>
          <w:rFonts w:hint="default" w:ascii="Verdana" w:hAnsi="Verdana" w:cs="Verdana"/>
          <w:b w:val="0"/>
          <w:bCs w:val="0"/>
          <w:sz w:val="22"/>
          <w:szCs w:val="22"/>
          <w:u w:val="none"/>
          <w:vertAlign w:val="superscript"/>
          <w:lang w:val="en-US"/>
        </w:rPr>
        <w:t>th</w:t>
      </w:r>
      <w:r>
        <w:rPr>
          <w:rFonts w:hint="default" w:ascii="Verdana" w:hAnsi="Verdana" w:cs="Verdana"/>
          <w:b w:val="0"/>
          <w:bCs w:val="0"/>
          <w:sz w:val="22"/>
          <w:szCs w:val="22"/>
          <w:u w:val="none"/>
          <w:lang w:val="en-US"/>
        </w:rPr>
        <w:t xml:space="preserve"> of the immediate succeeding month</w:t>
      </w:r>
    </w:p>
    <w:p>
      <w:pPr>
        <w:numPr>
          <w:ilvl w:val="0"/>
          <w:numId w:val="2"/>
        </w:numPr>
        <w:ind w:left="464"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10</w:t>
      </w:r>
      <w:r>
        <w:rPr>
          <w:rFonts w:hint="default" w:ascii="Verdana" w:hAnsi="Verdana" w:cs="Verdana"/>
          <w:b w:val="0"/>
          <w:bCs w:val="0"/>
          <w:sz w:val="22"/>
          <w:szCs w:val="22"/>
          <w:u w:val="none"/>
          <w:vertAlign w:val="superscript"/>
          <w:lang w:val="en-US"/>
        </w:rPr>
        <w:t>th</w:t>
      </w:r>
      <w:r>
        <w:rPr>
          <w:rFonts w:hint="default" w:ascii="Verdana" w:hAnsi="Verdana" w:cs="Verdana"/>
          <w:b w:val="0"/>
          <w:bCs w:val="0"/>
          <w:sz w:val="22"/>
          <w:szCs w:val="22"/>
          <w:u w:val="none"/>
          <w:lang w:val="en-US"/>
        </w:rPr>
        <w:t xml:space="preserve"> of the immediate succeeding month</w:t>
      </w:r>
    </w:p>
    <w:p>
      <w:pPr>
        <w:numPr>
          <w:ilvl w:val="0"/>
          <w:numId w:val="2"/>
        </w:numPr>
        <w:ind w:left="464" w:leftChars="0" w:firstLine="0" w:firstLineChars="0"/>
        <w:rPr>
          <w:rFonts w:hint="default" w:ascii="Verdana" w:hAnsi="Verdana" w:cs="Verdana"/>
          <w:b/>
          <w:bCs/>
          <w:sz w:val="22"/>
          <w:szCs w:val="22"/>
          <w:u w:val="none"/>
          <w:lang w:val="en-US"/>
        </w:rPr>
      </w:pPr>
      <w:r>
        <w:rPr>
          <w:rFonts w:hint="default" w:ascii="Verdana" w:hAnsi="Verdana" w:cs="Verdana"/>
          <w:b/>
          <w:bCs/>
          <w:sz w:val="22"/>
          <w:szCs w:val="22"/>
          <w:u w:val="none"/>
          <w:lang w:val="en-US"/>
        </w:rPr>
        <w:t>07</w:t>
      </w:r>
      <w:r>
        <w:rPr>
          <w:rFonts w:hint="default" w:ascii="Verdana" w:hAnsi="Verdana" w:cs="Verdana"/>
          <w:b/>
          <w:bCs/>
          <w:sz w:val="22"/>
          <w:szCs w:val="22"/>
          <w:u w:val="none"/>
          <w:vertAlign w:val="superscript"/>
          <w:lang w:val="en-US"/>
        </w:rPr>
        <w:t>th</w:t>
      </w:r>
      <w:r>
        <w:rPr>
          <w:rFonts w:hint="default" w:ascii="Verdana" w:hAnsi="Verdana" w:cs="Verdana"/>
          <w:b/>
          <w:bCs/>
          <w:sz w:val="22"/>
          <w:szCs w:val="22"/>
          <w:u w:val="none"/>
          <w:lang w:val="en-US"/>
        </w:rPr>
        <w:t xml:space="preserve"> of the immediate succeeding month</w:t>
      </w:r>
    </w:p>
    <w:p>
      <w:pPr>
        <w:numPr>
          <w:ilvl w:val="0"/>
          <w:numId w:val="0"/>
        </w:numPr>
        <w:rPr>
          <w:rFonts w:hint="default" w:ascii="Verdana" w:hAnsi="Verdana" w:cs="Verdana"/>
          <w:b/>
          <w:bCs/>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Q4  TDS Return is only required to be filled</w:t>
      </w:r>
    </w:p>
    <w:p>
      <w:pPr>
        <w:numPr>
          <w:ilvl w:val="0"/>
          <w:numId w:val="0"/>
        </w:numPr>
        <w:rPr>
          <w:rFonts w:hint="default" w:ascii="Verdana" w:hAnsi="Verdana" w:cs="Verdana"/>
          <w:b w:val="0"/>
          <w:bCs w:val="0"/>
          <w:sz w:val="22"/>
          <w:szCs w:val="22"/>
          <w:u w:val="none"/>
          <w:lang w:val="en-US"/>
        </w:rPr>
      </w:pPr>
    </w:p>
    <w:p>
      <w:pPr>
        <w:numPr>
          <w:ilvl w:val="0"/>
          <w:numId w:val="3"/>
        </w:numPr>
        <w:ind w:left="386" w:leftChars="0" w:firstLine="0" w:firstLineChars="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When tax deducted and paid within the stipulated period.</w:t>
      </w:r>
      <w:r>
        <w:rPr>
          <w:rFonts w:hint="default" w:ascii="Verdana" w:hAnsi="Verdana" w:cs="Verdana"/>
          <w:b w:val="0"/>
          <w:bCs w:val="0"/>
          <w:sz w:val="22"/>
          <w:szCs w:val="22"/>
          <w:u w:val="none"/>
          <w:lang w:val="en-US"/>
        </w:rPr>
        <w:t xml:space="preserve"> </w:t>
      </w:r>
    </w:p>
    <w:p>
      <w:pPr>
        <w:numPr>
          <w:ilvl w:val="0"/>
          <w:numId w:val="3"/>
        </w:numPr>
        <w:ind w:left="386"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When actual deduction of tax is required to be paid </w:t>
      </w:r>
    </w:p>
    <w:p>
      <w:pPr>
        <w:numPr>
          <w:ilvl w:val="0"/>
          <w:numId w:val="3"/>
        </w:numPr>
        <w:ind w:left="386"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When tax has been deducted</w:t>
      </w:r>
    </w:p>
    <w:p>
      <w:pPr>
        <w:numPr>
          <w:ilvl w:val="0"/>
          <w:numId w:val="3"/>
        </w:numPr>
        <w:ind w:left="386"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NIL return is required to be filled whether deducted and collected or not</w:t>
      </w:r>
    </w:p>
    <w:p>
      <w:pPr>
        <w:numPr>
          <w:ilvl w:val="0"/>
          <w:numId w:val="0"/>
        </w:numPr>
        <w:rPr>
          <w:rFonts w:hint="default" w:ascii="Verdana" w:hAnsi="Verdana" w:cs="Verdana"/>
          <w:b w:val="0"/>
          <w:bCs w:val="0"/>
          <w:sz w:val="22"/>
          <w:szCs w:val="22"/>
          <w:u w:val="none"/>
          <w:lang w:val="en-US"/>
        </w:rPr>
      </w:pPr>
    </w:p>
    <w:p>
      <w:pPr>
        <w:numPr>
          <w:ilvl w:val="0"/>
          <w:numId w:val="0"/>
        </w:numPr>
        <w:ind w:left="0"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Q5  Form no. 13 is required to be filled by _________ to the </w:t>
      </w:r>
    </w:p>
    <w:p>
      <w:pPr>
        <w:numPr>
          <w:ilvl w:val="0"/>
          <w:numId w:val="0"/>
        </w:numPr>
        <w:ind w:left="0" w:leftChars="0" w:firstLine="505" w:firstLineChars="23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jurisdictional officer of  ______</w:t>
      </w:r>
    </w:p>
    <w:p>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w:t>
      </w:r>
    </w:p>
    <w:p>
      <w:pPr>
        <w:numPr>
          <w:ilvl w:val="0"/>
          <w:numId w:val="4"/>
        </w:numPr>
        <w:ind w:firstLine="330" w:firstLineChars="1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the deductor,the deductee </w:t>
      </w:r>
    </w:p>
    <w:p>
      <w:pPr>
        <w:numPr>
          <w:ilvl w:val="0"/>
          <w:numId w:val="4"/>
        </w:numPr>
        <w:ind w:firstLine="331" w:firstLineChars="15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the deductee,the deductee</w:t>
      </w:r>
      <w:r>
        <w:rPr>
          <w:rFonts w:hint="default" w:ascii="Verdana" w:hAnsi="Verdana" w:cs="Verdana"/>
          <w:b w:val="0"/>
          <w:bCs w:val="0"/>
          <w:sz w:val="22"/>
          <w:szCs w:val="22"/>
          <w:u w:val="none"/>
          <w:lang w:val="en-US"/>
        </w:rPr>
        <w:t xml:space="preserve"> </w:t>
      </w:r>
    </w:p>
    <w:p>
      <w:pPr>
        <w:numPr>
          <w:ilvl w:val="0"/>
          <w:numId w:val="4"/>
        </w:numPr>
        <w:ind w:firstLine="330" w:firstLineChars="1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The deductee,the deductor </w:t>
      </w:r>
    </w:p>
    <w:p>
      <w:pPr>
        <w:numPr>
          <w:ilvl w:val="0"/>
          <w:numId w:val="4"/>
        </w:numPr>
        <w:ind w:left="0" w:leftChars="0" w:firstLine="330" w:firstLineChars="1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pPr>
        <w:numPr>
          <w:ilvl w:val="0"/>
          <w:numId w:val="0"/>
        </w:numPr>
        <w:rPr>
          <w:rFonts w:hint="default" w:ascii="Verdana" w:hAnsi="Verdana" w:cs="Verdana"/>
          <w:b w:val="0"/>
          <w:bCs w:val="0"/>
          <w:sz w:val="22"/>
          <w:szCs w:val="22"/>
          <w:u w:val="none"/>
          <w:lang w:val="en-US"/>
        </w:rPr>
      </w:pPr>
    </w:p>
    <w:p>
      <w:pPr>
        <w:numPr>
          <w:ilvl w:val="0"/>
          <w:numId w:val="0"/>
        </w:numPr>
        <w:ind w:left="398" w:leftChars="0" w:hanging="398" w:hangingChars="181"/>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Q6 the due date of filing of TDS return for the quarter ended 31.03.2024  is ______</w:t>
      </w:r>
    </w:p>
    <w:p>
      <w:pPr>
        <w:numPr>
          <w:ilvl w:val="0"/>
          <w:numId w:val="5"/>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30.04.2024</w:t>
      </w:r>
    </w:p>
    <w:p>
      <w:pPr>
        <w:numPr>
          <w:ilvl w:val="0"/>
          <w:numId w:val="5"/>
        </w:numPr>
        <w:ind w:firstLine="442" w:firstLineChars="200"/>
        <w:rPr>
          <w:rFonts w:hint="default" w:ascii="Verdana" w:hAnsi="Verdana" w:cs="Verdana"/>
          <w:b/>
          <w:bCs/>
          <w:sz w:val="22"/>
          <w:szCs w:val="22"/>
          <w:u w:val="none"/>
          <w:lang w:val="en-US"/>
        </w:rPr>
      </w:pPr>
      <w:r>
        <w:rPr>
          <w:rFonts w:hint="default" w:ascii="Verdana" w:hAnsi="Verdana" w:cs="Verdana"/>
          <w:b/>
          <w:bCs/>
          <w:sz w:val="22"/>
          <w:szCs w:val="22"/>
          <w:u w:val="none"/>
          <w:lang w:val="en-US"/>
        </w:rPr>
        <w:t>31.05.2024</w:t>
      </w:r>
    </w:p>
    <w:p>
      <w:pPr>
        <w:numPr>
          <w:ilvl w:val="0"/>
          <w:numId w:val="5"/>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30.06.2024</w:t>
      </w:r>
    </w:p>
    <w:p>
      <w:pPr>
        <w:numPr>
          <w:ilvl w:val="0"/>
          <w:numId w:val="5"/>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31.07.2024</w:t>
      </w:r>
    </w:p>
    <w:p>
      <w:pPr>
        <w:numPr>
          <w:ilvl w:val="0"/>
          <w:numId w:val="0"/>
        </w:numPr>
        <w:rPr>
          <w:rFonts w:hint="default" w:ascii="Verdana" w:hAnsi="Verdana" w:cs="Verdana"/>
          <w:b w:val="0"/>
          <w:bCs w:val="0"/>
          <w:sz w:val="22"/>
          <w:szCs w:val="22"/>
          <w:u w:val="none"/>
          <w:lang w:val="en-US"/>
        </w:rPr>
      </w:pPr>
    </w:p>
    <w:p>
      <w:pPr>
        <w:numPr>
          <w:ilvl w:val="0"/>
          <w:numId w:val="0"/>
        </w:numPr>
        <w:ind w:left="309" w:leftChars="0"/>
        <w:rPr>
          <w:rFonts w:hint="default" w:ascii="Verdana" w:hAnsi="Verdana" w:cs="Verdana"/>
          <w:b w:val="0"/>
          <w:bCs w:val="0"/>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Q7 TDS return once filled cannot be revised</w:t>
      </w:r>
    </w:p>
    <w:p>
      <w:pPr>
        <w:numPr>
          <w:ilvl w:val="0"/>
          <w:numId w:val="0"/>
        </w:numPr>
        <w:ind w:firstLine="440" w:firstLineChars="200"/>
        <w:rPr>
          <w:rFonts w:hint="default" w:ascii="Verdana" w:hAnsi="Verdana" w:cs="Verdana"/>
          <w:b w:val="0"/>
          <w:bCs w:val="0"/>
          <w:sz w:val="22"/>
          <w:szCs w:val="22"/>
          <w:u w:val="none"/>
          <w:lang w:val="en-US"/>
        </w:rPr>
      </w:pPr>
    </w:p>
    <w:p>
      <w:pPr>
        <w:numPr>
          <w:ilvl w:val="0"/>
          <w:numId w:val="6"/>
        </w:numPr>
        <w:ind w:left="400" w:left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Absolutely correct</w:t>
      </w:r>
    </w:p>
    <w:p>
      <w:pPr>
        <w:numPr>
          <w:ilvl w:val="0"/>
          <w:numId w:val="6"/>
        </w:numPr>
        <w:ind w:left="400"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Partially correct</w:t>
      </w:r>
    </w:p>
    <w:p>
      <w:pPr>
        <w:numPr>
          <w:ilvl w:val="0"/>
          <w:numId w:val="6"/>
        </w:numPr>
        <w:ind w:left="400" w:leftChars="0" w:firstLine="0" w:firstLineChars="0"/>
        <w:rPr>
          <w:rFonts w:hint="default" w:ascii="Verdana" w:hAnsi="Verdana" w:cs="Verdana"/>
          <w:b/>
          <w:bCs/>
          <w:sz w:val="22"/>
          <w:szCs w:val="22"/>
          <w:u w:val="none"/>
          <w:lang w:val="en-US"/>
        </w:rPr>
      </w:pPr>
      <w:r>
        <w:rPr>
          <w:rFonts w:hint="default" w:ascii="Verdana" w:hAnsi="Verdana" w:cs="Verdana"/>
          <w:b/>
          <w:bCs/>
          <w:sz w:val="22"/>
          <w:szCs w:val="22"/>
          <w:u w:val="none"/>
          <w:lang w:val="en-US"/>
        </w:rPr>
        <w:t>Not correct at all</w:t>
      </w:r>
    </w:p>
    <w:p>
      <w:pPr>
        <w:numPr>
          <w:ilvl w:val="0"/>
          <w:numId w:val="6"/>
        </w:numPr>
        <w:ind w:left="400"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pPr>
        <w:numPr>
          <w:ilvl w:val="0"/>
          <w:numId w:val="0"/>
        </w:numPr>
        <w:ind w:left="400" w:leftChars="0"/>
        <w:rPr>
          <w:rFonts w:hint="default" w:ascii="Verdana" w:hAnsi="Verdana" w:cs="Verdana"/>
          <w:b w:val="0"/>
          <w:bCs w:val="0"/>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Q 8 Late fees for non filing of TDS return is applicable on </w:t>
      </w:r>
    </w:p>
    <w:p>
      <w:pPr>
        <w:numPr>
          <w:ilvl w:val="0"/>
          <w:numId w:val="7"/>
        </w:numPr>
        <w:ind w:left="309" w:leftChars="0" w:firstLine="0" w:firstLineChars="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Daily basis of Rs.200/- per day</w:t>
      </w:r>
    </w:p>
    <w:p>
      <w:pPr>
        <w:numPr>
          <w:ilvl w:val="0"/>
          <w:numId w:val="7"/>
        </w:numPr>
        <w:ind w:left="309"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Monthly basis @Rs.5,000/- per month</w:t>
      </w:r>
    </w:p>
    <w:p>
      <w:pPr>
        <w:numPr>
          <w:ilvl w:val="0"/>
          <w:numId w:val="7"/>
        </w:numPr>
        <w:ind w:left="309"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Fixed amount of Rs.5,000/- per return</w:t>
      </w:r>
    </w:p>
    <w:p>
      <w:pPr>
        <w:numPr>
          <w:ilvl w:val="0"/>
          <w:numId w:val="7"/>
        </w:numPr>
        <w:ind w:left="309"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pPr>
        <w:numPr>
          <w:ilvl w:val="0"/>
          <w:numId w:val="0"/>
        </w:numPr>
        <w:ind w:left="386" w:leftChars="0"/>
        <w:rPr>
          <w:rFonts w:hint="default" w:ascii="Verdana" w:hAnsi="Verdana" w:cs="Verdana"/>
          <w:b w:val="0"/>
          <w:bCs w:val="0"/>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 9  An NRI having wholly assignment of advertisement contract came to India and served in respect of advertisement assignment in regards to India Pakistan one day international cricket series.State the provision on deduction of tax</w:t>
      </w:r>
    </w:p>
    <w:p>
      <w:pPr>
        <w:numPr>
          <w:ilvl w:val="0"/>
          <w:numId w:val="0"/>
        </w:numPr>
        <w:ind w:firstLine="440" w:firstLineChars="200"/>
        <w:rPr>
          <w:rFonts w:hint="default" w:ascii="Verdana" w:hAnsi="Verdana" w:cs="Verdana"/>
          <w:b w:val="0"/>
          <w:bCs w:val="0"/>
          <w:sz w:val="22"/>
          <w:szCs w:val="22"/>
          <w:u w:val="none"/>
          <w:lang w:val="en-US"/>
        </w:rPr>
      </w:pPr>
    </w:p>
    <w:p>
      <w:pPr>
        <w:numPr>
          <w:ilvl w:val="0"/>
          <w:numId w:val="8"/>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U/s 194C and no threshold limit thereon</w:t>
      </w:r>
    </w:p>
    <w:p>
      <w:pPr>
        <w:numPr>
          <w:ilvl w:val="0"/>
          <w:numId w:val="8"/>
        </w:numPr>
        <w:ind w:left="0" w:leftChars="0"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U/s 194J,having threshold limit of Rs.30,000/-</w:t>
      </w:r>
    </w:p>
    <w:p>
      <w:pPr>
        <w:numPr>
          <w:ilvl w:val="0"/>
          <w:numId w:val="8"/>
        </w:numPr>
        <w:ind w:firstLine="442" w:firstLineChars="200"/>
        <w:rPr>
          <w:rFonts w:hint="default" w:ascii="Verdana" w:hAnsi="Verdana" w:cs="Verdana"/>
          <w:b/>
          <w:bCs/>
          <w:sz w:val="22"/>
          <w:szCs w:val="22"/>
          <w:u w:val="none"/>
          <w:lang w:val="en-US"/>
        </w:rPr>
      </w:pPr>
      <w:r>
        <w:rPr>
          <w:rFonts w:hint="default" w:ascii="Verdana" w:hAnsi="Verdana" w:cs="Verdana"/>
          <w:b/>
          <w:bCs/>
          <w:sz w:val="22"/>
          <w:szCs w:val="22"/>
          <w:u w:val="none"/>
          <w:lang w:val="en-US"/>
        </w:rPr>
        <w:t>U/s 194E and no threshold limit thereon</w:t>
      </w:r>
    </w:p>
    <w:p>
      <w:pPr>
        <w:numPr>
          <w:ilvl w:val="0"/>
          <w:numId w:val="0"/>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d) U/s 194E,having threshold limit of Rs.30,000/</w:t>
      </w:r>
    </w:p>
    <w:p>
      <w:pPr>
        <w:numPr>
          <w:ilvl w:val="0"/>
          <w:numId w:val="0"/>
        </w:numPr>
        <w:rPr>
          <w:rFonts w:hint="default" w:ascii="Verdana" w:hAnsi="Verdana" w:cs="Verdana"/>
          <w:b w:val="0"/>
          <w:bCs w:val="0"/>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Q 10 Rate of interest on delay payment of Tax after deduction is ___ </w:t>
      </w:r>
    </w:p>
    <w:p>
      <w:pPr>
        <w:numPr>
          <w:ilvl w:val="0"/>
          <w:numId w:val="0"/>
        </w:numPr>
        <w:rPr>
          <w:rFonts w:hint="default" w:ascii="Verdana" w:hAnsi="Verdana" w:cs="Verdana"/>
          <w:b w:val="0"/>
          <w:bCs w:val="0"/>
          <w:sz w:val="22"/>
          <w:szCs w:val="22"/>
          <w:u w:val="none"/>
          <w:lang w:val="en-US"/>
        </w:rPr>
      </w:pPr>
    </w:p>
    <w:p>
      <w:pPr>
        <w:numPr>
          <w:ilvl w:val="0"/>
          <w:numId w:val="9"/>
        </w:numPr>
        <w:ind w:left="309" w:left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@1% P.M. U/s 201(1A)</w:t>
      </w:r>
    </w:p>
    <w:p>
      <w:pPr>
        <w:numPr>
          <w:ilvl w:val="0"/>
          <w:numId w:val="9"/>
        </w:numPr>
        <w:ind w:left="309" w:left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@1.25% P.M. U/s 201(1A)</w:t>
      </w:r>
    </w:p>
    <w:p>
      <w:pPr>
        <w:numPr>
          <w:ilvl w:val="0"/>
          <w:numId w:val="9"/>
        </w:numPr>
        <w:ind w:left="309" w:leftChars="0"/>
        <w:rPr>
          <w:rFonts w:hint="default" w:ascii="Verdana" w:hAnsi="Verdana" w:cs="Verdana"/>
          <w:b/>
          <w:bCs/>
          <w:sz w:val="22"/>
          <w:szCs w:val="22"/>
          <w:u w:val="none"/>
          <w:lang w:val="en-US"/>
        </w:rPr>
      </w:pPr>
      <w:r>
        <w:rPr>
          <w:rFonts w:hint="default" w:ascii="Verdana" w:hAnsi="Verdana" w:cs="Verdana"/>
          <w:b/>
          <w:bCs/>
          <w:sz w:val="22"/>
          <w:szCs w:val="22"/>
          <w:u w:val="none"/>
          <w:lang w:val="en-US"/>
        </w:rPr>
        <w:t>@1.5% P.M. U/s 201(1A)</w:t>
      </w:r>
    </w:p>
    <w:p>
      <w:pPr>
        <w:numPr>
          <w:ilvl w:val="0"/>
          <w:numId w:val="7"/>
        </w:numPr>
        <w:ind w:left="309" w:leftChars="0" w:firstLine="0" w:firstLineChars="0"/>
        <w:rPr>
          <w:rFonts w:hint="default" w:ascii="Verdana" w:hAnsi="Verdana" w:cs="Verdana"/>
          <w:b w:val="0"/>
          <w:bCs w:val="0"/>
          <w:sz w:val="22"/>
          <w:szCs w:val="22"/>
          <w:u w:val="none"/>
          <w:lang w:val="en-US"/>
        </w:rPr>
      </w:pPr>
      <w:bookmarkStart w:id="0" w:name="_GoBack"/>
      <w:bookmarkEnd w:id="0"/>
      <w:r>
        <w:rPr>
          <w:rFonts w:hint="default" w:ascii="Verdana" w:hAnsi="Verdana" w:cs="Verdana"/>
          <w:b w:val="0"/>
          <w:bCs w:val="0"/>
          <w:sz w:val="22"/>
          <w:szCs w:val="22"/>
          <w:u w:val="none"/>
          <w:lang w:val="en-US"/>
        </w:rPr>
        <w:t>@2% P.M. U/s 201(1A)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DBBB4"/>
    <w:multiLevelType w:val="singleLevel"/>
    <w:tmpl w:val="8EADBBB4"/>
    <w:lvl w:ilvl="0" w:tentative="0">
      <w:start w:val="1"/>
      <w:numFmt w:val="lowerLetter"/>
      <w:suff w:val="space"/>
      <w:lvlText w:val="%1)"/>
      <w:lvlJc w:val="left"/>
      <w:pPr>
        <w:ind w:left="386" w:leftChars="0" w:firstLine="0" w:firstLineChars="0"/>
      </w:pPr>
    </w:lvl>
  </w:abstractNum>
  <w:abstractNum w:abstractNumId="1">
    <w:nsid w:val="A0B924F6"/>
    <w:multiLevelType w:val="singleLevel"/>
    <w:tmpl w:val="A0B924F6"/>
    <w:lvl w:ilvl="0" w:tentative="0">
      <w:start w:val="1"/>
      <w:numFmt w:val="lowerLetter"/>
      <w:suff w:val="space"/>
      <w:lvlText w:val="%1)"/>
      <w:lvlJc w:val="left"/>
    </w:lvl>
  </w:abstractNum>
  <w:abstractNum w:abstractNumId="2">
    <w:nsid w:val="A10AB59B"/>
    <w:multiLevelType w:val="singleLevel"/>
    <w:tmpl w:val="A10AB59B"/>
    <w:lvl w:ilvl="0" w:tentative="0">
      <w:start w:val="1"/>
      <w:numFmt w:val="lowerLetter"/>
      <w:suff w:val="space"/>
      <w:lvlText w:val="%1)"/>
      <w:lvlJc w:val="left"/>
    </w:lvl>
  </w:abstractNum>
  <w:abstractNum w:abstractNumId="3">
    <w:nsid w:val="BE05DFCF"/>
    <w:multiLevelType w:val="singleLevel"/>
    <w:tmpl w:val="BE05DFCF"/>
    <w:lvl w:ilvl="0" w:tentative="0">
      <w:start w:val="1"/>
      <w:numFmt w:val="lowerLetter"/>
      <w:suff w:val="space"/>
      <w:lvlText w:val="%1)"/>
      <w:lvlJc w:val="left"/>
      <w:pPr>
        <w:ind w:left="309" w:leftChars="0" w:firstLine="0" w:firstLineChars="0"/>
      </w:pPr>
    </w:lvl>
  </w:abstractNum>
  <w:abstractNum w:abstractNumId="4">
    <w:nsid w:val="C7651E60"/>
    <w:multiLevelType w:val="singleLevel"/>
    <w:tmpl w:val="C7651E60"/>
    <w:lvl w:ilvl="0" w:tentative="0">
      <w:start w:val="1"/>
      <w:numFmt w:val="lowerLetter"/>
      <w:suff w:val="space"/>
      <w:lvlText w:val="%1)"/>
      <w:lvlJc w:val="left"/>
      <w:pPr>
        <w:ind w:left="464" w:leftChars="0" w:firstLine="0" w:firstLineChars="0"/>
      </w:pPr>
    </w:lvl>
  </w:abstractNum>
  <w:abstractNum w:abstractNumId="5">
    <w:nsid w:val="FDC010FD"/>
    <w:multiLevelType w:val="singleLevel"/>
    <w:tmpl w:val="FDC010FD"/>
    <w:lvl w:ilvl="0" w:tentative="0">
      <w:start w:val="1"/>
      <w:numFmt w:val="lowerLetter"/>
      <w:suff w:val="space"/>
      <w:lvlText w:val="%1)"/>
      <w:lvlJc w:val="left"/>
    </w:lvl>
  </w:abstractNum>
  <w:abstractNum w:abstractNumId="6">
    <w:nsid w:val="37F4FEBF"/>
    <w:multiLevelType w:val="singleLevel"/>
    <w:tmpl w:val="37F4FEBF"/>
    <w:lvl w:ilvl="0" w:tentative="0">
      <w:start w:val="1"/>
      <w:numFmt w:val="lowerLetter"/>
      <w:suff w:val="space"/>
      <w:lvlText w:val="%1)"/>
      <w:lvlJc w:val="left"/>
    </w:lvl>
  </w:abstractNum>
  <w:abstractNum w:abstractNumId="7">
    <w:nsid w:val="510E2BB7"/>
    <w:multiLevelType w:val="singleLevel"/>
    <w:tmpl w:val="510E2BB7"/>
    <w:lvl w:ilvl="0" w:tentative="0">
      <w:start w:val="1"/>
      <w:numFmt w:val="lowerLetter"/>
      <w:suff w:val="space"/>
      <w:lvlText w:val="%1)"/>
      <w:lvlJc w:val="left"/>
    </w:lvl>
  </w:abstractNum>
  <w:abstractNum w:abstractNumId="8">
    <w:nsid w:val="512F374C"/>
    <w:multiLevelType w:val="singleLevel"/>
    <w:tmpl w:val="512F374C"/>
    <w:lvl w:ilvl="0" w:tentative="0">
      <w:start w:val="1"/>
      <w:numFmt w:val="lowerLetter"/>
      <w:suff w:val="space"/>
      <w:lvlText w:val="%1)"/>
      <w:lvlJc w:val="left"/>
      <w:pPr>
        <w:ind w:left="464" w:leftChars="0" w:firstLine="0" w:firstLineChars="0"/>
      </w:pPr>
    </w:lvl>
  </w:abstractNum>
  <w:num w:numId="1">
    <w:abstractNumId w:val="4"/>
  </w:num>
  <w:num w:numId="2">
    <w:abstractNumId w:val="8"/>
  </w:num>
  <w:num w:numId="3">
    <w:abstractNumId w:val="0"/>
  </w:num>
  <w:num w:numId="4">
    <w:abstractNumId w:val="2"/>
  </w:num>
  <w:num w:numId="5">
    <w:abstractNumId w:val="5"/>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46C58"/>
    <w:rsid w:val="0298137F"/>
    <w:rsid w:val="07563167"/>
    <w:rsid w:val="21346C58"/>
    <w:rsid w:val="455E453B"/>
    <w:rsid w:val="4C2E3661"/>
    <w:rsid w:val="675C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2024-04-03T18:01:00Z</dcterms:created>
  <dc:creator>Sir</dc:creator>
  <cp:lastModifiedBy>Tapas Majumder</cp:lastModifiedBy>
  <dcterms:modified xsi:type="dcterms:W3CDTF">2024-04-04T05:14:47Z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F10B9AC37A1F4528A80F416D439FC7B5_11</vt:lpwstr>
  </property>
</Properties>
</file>