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788B1" w14:textId="470F2DE7" w:rsidR="000D30C7" w:rsidRDefault="003A3044" w:rsidP="00EB6DBA">
      <w:pPr>
        <w:jc w:val="center"/>
      </w:pPr>
      <w:r>
        <w:t>MCQ on 194</w:t>
      </w:r>
      <w:r w:rsidR="00EB6DBA">
        <w:t>C &amp; 194D</w:t>
      </w:r>
    </w:p>
    <w:p w14:paraId="29DC1EAA" w14:textId="77777777" w:rsidR="003A3044" w:rsidRDefault="003A3044"/>
    <w:p w14:paraId="4976F3AD" w14:textId="7540A914" w:rsidR="003A3044" w:rsidRPr="003A3044" w:rsidRDefault="003A3044" w:rsidP="003A3044">
      <w:pPr>
        <w:pStyle w:val="ListParagraph"/>
        <w:numPr>
          <w:ilvl w:val="0"/>
          <w:numId w:val="2"/>
        </w:numPr>
      </w:pPr>
      <w:r w:rsidRPr="003A3044">
        <w:rPr>
          <w:lang w:val="en-US"/>
        </w:rPr>
        <w:t>Section 194C states that any person responsible for paying any sum to the resident contractor for carrying out any work (including the supply of labor), in pursuance of a contract between the contractor and the following:</w:t>
      </w:r>
    </w:p>
    <w:p w14:paraId="736F16FA" w14:textId="77777777" w:rsidR="003A3044" w:rsidRPr="003A3044" w:rsidRDefault="003A3044" w:rsidP="003A3044">
      <w:pPr>
        <w:numPr>
          <w:ilvl w:val="0"/>
          <w:numId w:val="3"/>
        </w:numPr>
      </w:pPr>
      <w:r w:rsidRPr="003A3044">
        <w:rPr>
          <w:lang w:val="en-US"/>
        </w:rPr>
        <w:t>The Central Government or any State Government</w:t>
      </w:r>
    </w:p>
    <w:p w14:paraId="07D15A94" w14:textId="77777777" w:rsidR="003A3044" w:rsidRPr="003A3044" w:rsidRDefault="003A3044" w:rsidP="003A3044">
      <w:pPr>
        <w:numPr>
          <w:ilvl w:val="0"/>
          <w:numId w:val="3"/>
        </w:numPr>
      </w:pPr>
      <w:r w:rsidRPr="003A3044">
        <w:rPr>
          <w:lang w:val="en-US"/>
        </w:rPr>
        <w:t>Any local authority</w:t>
      </w:r>
    </w:p>
    <w:p w14:paraId="058C86A8" w14:textId="77777777" w:rsidR="003A3044" w:rsidRPr="003A3044" w:rsidRDefault="003A3044" w:rsidP="003A3044">
      <w:pPr>
        <w:numPr>
          <w:ilvl w:val="0"/>
          <w:numId w:val="3"/>
        </w:numPr>
      </w:pPr>
      <w:r w:rsidRPr="003A3044">
        <w:rPr>
          <w:lang w:val="en-US"/>
        </w:rPr>
        <w:t>Any corporation established by or under a Central, State Act</w:t>
      </w:r>
    </w:p>
    <w:p w14:paraId="7B1698EB" w14:textId="77777777" w:rsidR="003A3044" w:rsidRPr="003A3044" w:rsidRDefault="003A3044" w:rsidP="003A3044">
      <w:pPr>
        <w:numPr>
          <w:ilvl w:val="0"/>
          <w:numId w:val="3"/>
        </w:numPr>
      </w:pPr>
      <w:r w:rsidRPr="003A3044">
        <w:rPr>
          <w:lang w:val="en-US"/>
        </w:rPr>
        <w:t>Any company</w:t>
      </w:r>
    </w:p>
    <w:p w14:paraId="65D5085F" w14:textId="49A70635" w:rsidR="003A3044" w:rsidRPr="003A3044" w:rsidRDefault="003A3044" w:rsidP="003A3044">
      <w:pPr>
        <w:numPr>
          <w:ilvl w:val="0"/>
          <w:numId w:val="3"/>
        </w:numPr>
        <w:rPr>
          <w:color w:val="FF0000"/>
        </w:rPr>
      </w:pPr>
      <w:r w:rsidRPr="003A3044">
        <w:rPr>
          <w:color w:val="FF0000"/>
          <w:lang w:val="en-US"/>
        </w:rPr>
        <w:t>A</w:t>
      </w:r>
      <w:r w:rsidRPr="003A3044">
        <w:rPr>
          <w:color w:val="FF0000"/>
          <w:lang w:val="en-US"/>
        </w:rPr>
        <w:t>ll of the above</w:t>
      </w:r>
    </w:p>
    <w:p w14:paraId="35B94471" w14:textId="77777777" w:rsidR="003A3044" w:rsidRDefault="003A3044" w:rsidP="003A3044">
      <w:pPr>
        <w:rPr>
          <w:color w:val="FF0000"/>
          <w:lang w:val="en-US"/>
        </w:rPr>
      </w:pPr>
    </w:p>
    <w:p w14:paraId="31940914" w14:textId="53D5D3BA" w:rsidR="003A3044" w:rsidRPr="003A3044" w:rsidRDefault="003A3044" w:rsidP="003A3044">
      <w:pPr>
        <w:pStyle w:val="ListParagraph"/>
        <w:numPr>
          <w:ilvl w:val="0"/>
          <w:numId w:val="2"/>
        </w:numPr>
      </w:pPr>
      <w:r w:rsidRPr="003A3044">
        <w:rPr>
          <w:lang w:val="en-US"/>
        </w:rPr>
        <w:t>A “sub-contractor” would mean any person</w:t>
      </w:r>
      <w:r w:rsidRPr="003A3044">
        <w:rPr>
          <w:lang w:val="en-US"/>
        </w:rPr>
        <w:t xml:space="preserve"> w</w:t>
      </w:r>
      <w:r w:rsidRPr="003A3044">
        <w:rPr>
          <w:lang w:val="en-US"/>
        </w:rPr>
        <w:t>ho enters into a contract with the contractor for carrying out,</w:t>
      </w:r>
    </w:p>
    <w:p w14:paraId="172D12A5" w14:textId="77777777" w:rsidR="003A3044" w:rsidRPr="003A3044" w:rsidRDefault="003A3044" w:rsidP="003A3044">
      <w:pPr>
        <w:numPr>
          <w:ilvl w:val="0"/>
          <w:numId w:val="5"/>
        </w:numPr>
      </w:pPr>
      <w:r w:rsidRPr="003A3044">
        <w:rPr>
          <w:lang w:val="en-US"/>
        </w:rPr>
        <w:t>For the supply of labor for carrying out the whole or part of the work undertaken by the contractor under a contract with any of the authorities or</w:t>
      </w:r>
    </w:p>
    <w:p w14:paraId="3730F745" w14:textId="77777777" w:rsidR="003A3044" w:rsidRPr="003A3044" w:rsidRDefault="003A3044" w:rsidP="003A3044">
      <w:pPr>
        <w:numPr>
          <w:ilvl w:val="0"/>
          <w:numId w:val="5"/>
        </w:numPr>
      </w:pPr>
      <w:r w:rsidRPr="003A3044">
        <w:rPr>
          <w:lang w:val="en-US"/>
        </w:rPr>
        <w:t>For the supply of, whether wholly or partly, any labor which the contractor has undertaken to supply in terms of his contract with any of the authorities mentioned under this section.</w:t>
      </w:r>
    </w:p>
    <w:p w14:paraId="21C80527" w14:textId="3C01F4B0" w:rsidR="003A3044" w:rsidRPr="003A3044" w:rsidRDefault="003A3044" w:rsidP="003A3044">
      <w:pPr>
        <w:numPr>
          <w:ilvl w:val="0"/>
          <w:numId w:val="5"/>
        </w:numPr>
        <w:rPr>
          <w:color w:val="FF0000"/>
        </w:rPr>
      </w:pPr>
      <w:r w:rsidRPr="003A3044">
        <w:rPr>
          <w:color w:val="FF0000"/>
          <w:lang w:val="en-US"/>
        </w:rPr>
        <w:t>Either a or b</w:t>
      </w:r>
      <w:r w:rsidR="00EB6DBA">
        <w:rPr>
          <w:color w:val="FF0000"/>
          <w:lang w:val="en-US"/>
        </w:rPr>
        <w:t xml:space="preserve"> or both</w:t>
      </w:r>
    </w:p>
    <w:p w14:paraId="31573B15" w14:textId="346D0765" w:rsidR="003A3044" w:rsidRPr="003A3044" w:rsidRDefault="003A3044" w:rsidP="003A3044">
      <w:pPr>
        <w:numPr>
          <w:ilvl w:val="0"/>
          <w:numId w:val="5"/>
        </w:numPr>
      </w:pPr>
      <w:r w:rsidRPr="003A3044">
        <w:rPr>
          <w:lang w:val="en-US"/>
        </w:rPr>
        <w:t>Neither a or b</w:t>
      </w:r>
    </w:p>
    <w:p w14:paraId="09508606" w14:textId="77777777" w:rsidR="003A3044" w:rsidRDefault="003A3044" w:rsidP="003A3044">
      <w:pPr>
        <w:rPr>
          <w:lang w:val="en-US"/>
        </w:rPr>
      </w:pPr>
    </w:p>
    <w:p w14:paraId="2FB12F82" w14:textId="76C2F877" w:rsidR="003A3044" w:rsidRPr="00EB6DBA" w:rsidRDefault="003A3044" w:rsidP="00EB6DBA">
      <w:pPr>
        <w:pStyle w:val="ListParagraph"/>
        <w:numPr>
          <w:ilvl w:val="0"/>
          <w:numId w:val="2"/>
        </w:numPr>
      </w:pPr>
      <w:r w:rsidRPr="003A3044">
        <w:rPr>
          <w:b/>
          <w:bCs/>
          <w:lang w:val="en-US"/>
        </w:rPr>
        <w:t>What is the rate of TDS</w:t>
      </w:r>
      <w:r>
        <w:rPr>
          <w:b/>
          <w:bCs/>
          <w:lang w:val="en-US"/>
        </w:rPr>
        <w:t xml:space="preserve"> under </w:t>
      </w:r>
      <w:r w:rsidRPr="003A3044">
        <w:rPr>
          <w:lang w:val="en-US"/>
        </w:rPr>
        <w:t>Section 194C</w:t>
      </w:r>
      <w:r>
        <w:rPr>
          <w:lang w:val="en-US"/>
        </w:rPr>
        <w:t xml:space="preserve"> when </w:t>
      </w:r>
      <w:r w:rsidRPr="003A3044">
        <w:rPr>
          <w:lang w:val="en-US"/>
        </w:rPr>
        <w:t>Payment / Credit to resident individual or HUF</w:t>
      </w:r>
      <w:r w:rsidR="00EB6DBA">
        <w:rPr>
          <w:lang w:val="en-US"/>
        </w:rPr>
        <w:t xml:space="preserve"> (</w:t>
      </w:r>
      <w:r w:rsidR="00EB6DBA" w:rsidRPr="00EB6DBA">
        <w:rPr>
          <w:lang w:val="en-US"/>
        </w:rPr>
        <w:t>if PAN available</w:t>
      </w:r>
      <w:r w:rsidR="00EB6DBA">
        <w:rPr>
          <w:lang w:val="en-US"/>
        </w:rPr>
        <w:t>)</w:t>
      </w:r>
    </w:p>
    <w:p w14:paraId="424C3F5D" w14:textId="689FEDC4" w:rsidR="00EB6DBA" w:rsidRDefault="00EB6DBA" w:rsidP="00EB6DBA">
      <w:pPr>
        <w:pStyle w:val="ListParagraph"/>
        <w:numPr>
          <w:ilvl w:val="0"/>
          <w:numId w:val="6"/>
        </w:numPr>
      </w:pPr>
      <w:r>
        <w:t>10%</w:t>
      </w:r>
    </w:p>
    <w:p w14:paraId="1E74B976" w14:textId="51342BEA" w:rsidR="00EB6DBA" w:rsidRDefault="00EB6DBA" w:rsidP="00EB6DBA">
      <w:pPr>
        <w:pStyle w:val="ListParagraph"/>
        <w:numPr>
          <w:ilvl w:val="0"/>
          <w:numId w:val="6"/>
        </w:numPr>
      </w:pPr>
      <w:r>
        <w:t>5%</w:t>
      </w:r>
    </w:p>
    <w:p w14:paraId="725103A6" w14:textId="638DB836" w:rsidR="00EB6DBA" w:rsidRDefault="00EB6DBA" w:rsidP="00EB6DBA">
      <w:pPr>
        <w:pStyle w:val="ListParagraph"/>
        <w:numPr>
          <w:ilvl w:val="0"/>
          <w:numId w:val="6"/>
        </w:numPr>
      </w:pPr>
      <w:r>
        <w:t>2%</w:t>
      </w:r>
    </w:p>
    <w:p w14:paraId="25184B94" w14:textId="295493CA" w:rsidR="00EB6DBA" w:rsidRDefault="00EB6DBA" w:rsidP="00EB6DBA">
      <w:pPr>
        <w:pStyle w:val="ListParagraph"/>
        <w:numPr>
          <w:ilvl w:val="0"/>
          <w:numId w:val="6"/>
        </w:numPr>
        <w:rPr>
          <w:color w:val="FF0000"/>
        </w:rPr>
      </w:pPr>
      <w:r w:rsidRPr="00EB6DBA">
        <w:rPr>
          <w:color w:val="FF0000"/>
        </w:rPr>
        <w:t>1%</w:t>
      </w:r>
    </w:p>
    <w:p w14:paraId="615436F8" w14:textId="77777777" w:rsidR="00EB6DBA" w:rsidRDefault="00EB6DBA" w:rsidP="00EB6DBA">
      <w:pPr>
        <w:rPr>
          <w:color w:val="FF0000"/>
        </w:rPr>
      </w:pPr>
    </w:p>
    <w:p w14:paraId="51C8F9BE" w14:textId="77C3CCE4" w:rsidR="00EB6DBA" w:rsidRPr="00EB6DBA" w:rsidRDefault="00EB6DBA" w:rsidP="00EB6DBA">
      <w:pPr>
        <w:pStyle w:val="ListParagraph"/>
        <w:numPr>
          <w:ilvl w:val="0"/>
          <w:numId w:val="2"/>
        </w:numPr>
      </w:pPr>
      <w:r w:rsidRPr="003A3044">
        <w:rPr>
          <w:b/>
          <w:bCs/>
          <w:lang w:val="en-US"/>
        </w:rPr>
        <w:t>What is the rate of TDS</w:t>
      </w:r>
      <w:r>
        <w:rPr>
          <w:b/>
          <w:bCs/>
          <w:lang w:val="en-US"/>
        </w:rPr>
        <w:t xml:space="preserve"> under </w:t>
      </w:r>
      <w:r w:rsidRPr="003A3044">
        <w:rPr>
          <w:lang w:val="en-US"/>
        </w:rPr>
        <w:t>Section 194C</w:t>
      </w:r>
      <w:r>
        <w:rPr>
          <w:lang w:val="en-US"/>
        </w:rPr>
        <w:t xml:space="preserve"> when </w:t>
      </w:r>
      <w:r w:rsidRPr="003A3044">
        <w:rPr>
          <w:lang w:val="en-US"/>
        </w:rPr>
        <w:t>Payment / Credit to resident individual or HUF</w:t>
      </w:r>
      <w:r>
        <w:rPr>
          <w:lang w:val="en-US"/>
        </w:rPr>
        <w:t xml:space="preserve"> (</w:t>
      </w:r>
      <w:r w:rsidRPr="00EB6DBA">
        <w:rPr>
          <w:lang w:val="en-US"/>
        </w:rPr>
        <w:t xml:space="preserve">if PAN </w:t>
      </w:r>
      <w:r>
        <w:rPr>
          <w:lang w:val="en-US"/>
        </w:rPr>
        <w:t xml:space="preserve">is not </w:t>
      </w:r>
      <w:r w:rsidRPr="00EB6DBA">
        <w:rPr>
          <w:lang w:val="en-US"/>
        </w:rPr>
        <w:t>available</w:t>
      </w:r>
      <w:r>
        <w:rPr>
          <w:lang w:val="en-US"/>
        </w:rPr>
        <w:t>)</w:t>
      </w:r>
    </w:p>
    <w:p w14:paraId="5FF7EC3F" w14:textId="404B7733" w:rsidR="00EB6DBA" w:rsidRPr="00EB6DBA" w:rsidRDefault="00EB6DBA" w:rsidP="00E962BF">
      <w:pPr>
        <w:pStyle w:val="ListParagraph"/>
        <w:numPr>
          <w:ilvl w:val="0"/>
          <w:numId w:val="7"/>
        </w:numPr>
        <w:ind w:left="709" w:hanging="283"/>
      </w:pPr>
      <w:r w:rsidRPr="00EB6DBA">
        <w:t>10%</w:t>
      </w:r>
    </w:p>
    <w:p w14:paraId="78E8CAF8" w14:textId="2B9F6F3C" w:rsidR="00EB6DBA" w:rsidRPr="00EB6DBA" w:rsidRDefault="00EB6DBA" w:rsidP="00E962BF">
      <w:pPr>
        <w:pStyle w:val="ListParagraph"/>
        <w:numPr>
          <w:ilvl w:val="0"/>
          <w:numId w:val="7"/>
        </w:numPr>
        <w:ind w:left="709" w:hanging="283"/>
        <w:rPr>
          <w:color w:val="FF0000"/>
        </w:rPr>
      </w:pPr>
      <w:r w:rsidRPr="00EB6DBA">
        <w:rPr>
          <w:color w:val="FF0000"/>
        </w:rPr>
        <w:t>20%</w:t>
      </w:r>
    </w:p>
    <w:p w14:paraId="72C127AF" w14:textId="3A703005" w:rsidR="00EB6DBA" w:rsidRPr="00EB6DBA" w:rsidRDefault="00EB6DBA" w:rsidP="00E962BF">
      <w:pPr>
        <w:pStyle w:val="ListParagraph"/>
        <w:numPr>
          <w:ilvl w:val="0"/>
          <w:numId w:val="7"/>
        </w:numPr>
        <w:ind w:left="709" w:hanging="283"/>
      </w:pPr>
      <w:r w:rsidRPr="00EB6DBA">
        <w:t>30%</w:t>
      </w:r>
    </w:p>
    <w:p w14:paraId="786F2DEB" w14:textId="042B6A0D" w:rsidR="00EB6DBA" w:rsidRDefault="00EB6DBA" w:rsidP="00E962BF">
      <w:pPr>
        <w:pStyle w:val="ListParagraph"/>
        <w:numPr>
          <w:ilvl w:val="0"/>
          <w:numId w:val="7"/>
        </w:numPr>
        <w:ind w:left="709" w:hanging="283"/>
      </w:pPr>
      <w:r w:rsidRPr="00EB6DBA">
        <w:t>No TDS require to deduct</w:t>
      </w:r>
    </w:p>
    <w:p w14:paraId="52D83ABF" w14:textId="4CD4D56E" w:rsidR="00EB6DBA" w:rsidRDefault="00EB6DBA" w:rsidP="00EB6DBA"/>
    <w:p w14:paraId="51933529" w14:textId="3A64562C" w:rsidR="00EB6DBA" w:rsidRPr="00EB6DBA" w:rsidRDefault="00EB6DBA" w:rsidP="00EB6DBA">
      <w:pPr>
        <w:pStyle w:val="ListParagraph"/>
        <w:numPr>
          <w:ilvl w:val="0"/>
          <w:numId w:val="2"/>
        </w:numPr>
      </w:pPr>
      <w:r w:rsidRPr="003A3044">
        <w:rPr>
          <w:b/>
          <w:bCs/>
          <w:lang w:val="en-US"/>
        </w:rPr>
        <w:t>What is the rate of TDS</w:t>
      </w:r>
      <w:r>
        <w:rPr>
          <w:b/>
          <w:bCs/>
          <w:lang w:val="en-US"/>
        </w:rPr>
        <w:t xml:space="preserve"> under </w:t>
      </w:r>
      <w:r w:rsidRPr="003A3044">
        <w:rPr>
          <w:lang w:val="en-US"/>
        </w:rPr>
        <w:t>Section 194C</w:t>
      </w:r>
      <w:r>
        <w:rPr>
          <w:lang w:val="en-US"/>
        </w:rPr>
        <w:t xml:space="preserve"> when </w:t>
      </w:r>
      <w:r w:rsidRPr="00EB6DBA">
        <w:rPr>
          <w:lang w:val="en-US"/>
        </w:rPr>
        <w:t>Payment/Credit to any resident person other than individual / HUF (if PAN available)</w:t>
      </w:r>
    </w:p>
    <w:p w14:paraId="7125C384" w14:textId="77777777" w:rsidR="00EB6DBA" w:rsidRPr="00EB6DBA" w:rsidRDefault="00EB6DBA" w:rsidP="00EB6DBA">
      <w:pPr>
        <w:pStyle w:val="ListParagraph"/>
        <w:numPr>
          <w:ilvl w:val="0"/>
          <w:numId w:val="8"/>
        </w:numPr>
      </w:pPr>
      <w:r w:rsidRPr="00EB6DBA">
        <w:t>10%</w:t>
      </w:r>
    </w:p>
    <w:p w14:paraId="50CA8647" w14:textId="77777777" w:rsidR="00EB6DBA" w:rsidRPr="00EB6DBA" w:rsidRDefault="00EB6DBA" w:rsidP="00EB6DBA">
      <w:pPr>
        <w:pStyle w:val="ListParagraph"/>
        <w:numPr>
          <w:ilvl w:val="0"/>
          <w:numId w:val="8"/>
        </w:numPr>
      </w:pPr>
      <w:r w:rsidRPr="00EB6DBA">
        <w:lastRenderedPageBreak/>
        <w:t>5%</w:t>
      </w:r>
    </w:p>
    <w:p w14:paraId="048E3E38" w14:textId="77777777" w:rsidR="00EB6DBA" w:rsidRPr="00EB6DBA" w:rsidRDefault="00EB6DBA" w:rsidP="00EB6DBA">
      <w:pPr>
        <w:pStyle w:val="ListParagraph"/>
        <w:numPr>
          <w:ilvl w:val="0"/>
          <w:numId w:val="8"/>
        </w:numPr>
        <w:rPr>
          <w:color w:val="FF0000"/>
        </w:rPr>
      </w:pPr>
      <w:r w:rsidRPr="00EB6DBA">
        <w:rPr>
          <w:color w:val="FF0000"/>
        </w:rPr>
        <w:t>2%</w:t>
      </w:r>
    </w:p>
    <w:p w14:paraId="5FF59773" w14:textId="77777777" w:rsidR="00EB6DBA" w:rsidRPr="00EB6DBA" w:rsidRDefault="00EB6DBA" w:rsidP="00EB6DBA">
      <w:pPr>
        <w:pStyle w:val="ListParagraph"/>
        <w:numPr>
          <w:ilvl w:val="0"/>
          <w:numId w:val="8"/>
        </w:numPr>
      </w:pPr>
      <w:r w:rsidRPr="00EB6DBA">
        <w:t>1%</w:t>
      </w:r>
    </w:p>
    <w:p w14:paraId="02A59DC2" w14:textId="77777777" w:rsidR="00EB6DBA" w:rsidRPr="00EB6DBA" w:rsidRDefault="00EB6DBA" w:rsidP="00EB6DBA">
      <w:pPr>
        <w:pStyle w:val="ListParagraph"/>
        <w:rPr>
          <w:color w:val="FF0000"/>
        </w:rPr>
      </w:pPr>
    </w:p>
    <w:p w14:paraId="278F6FB7" w14:textId="3D7A59FA" w:rsidR="00EB6DBA" w:rsidRPr="00EB6DBA" w:rsidRDefault="00EB6DBA" w:rsidP="00EB6DBA">
      <w:pPr>
        <w:pStyle w:val="ListParagraph"/>
        <w:numPr>
          <w:ilvl w:val="0"/>
          <w:numId w:val="2"/>
        </w:numPr>
      </w:pPr>
      <w:r w:rsidRPr="003A3044">
        <w:rPr>
          <w:b/>
          <w:bCs/>
          <w:lang w:val="en-US"/>
        </w:rPr>
        <w:t>What is the rate of TDS</w:t>
      </w:r>
      <w:r>
        <w:rPr>
          <w:b/>
          <w:bCs/>
          <w:lang w:val="en-US"/>
        </w:rPr>
        <w:t xml:space="preserve"> under </w:t>
      </w:r>
      <w:r w:rsidRPr="003A3044">
        <w:rPr>
          <w:lang w:val="en-US"/>
        </w:rPr>
        <w:t>Section 194C</w:t>
      </w:r>
      <w:r>
        <w:rPr>
          <w:lang w:val="en-US"/>
        </w:rPr>
        <w:t xml:space="preserve"> when </w:t>
      </w:r>
      <w:r w:rsidRPr="00EB6DBA">
        <w:t>Payment/ credit to Transporters</w:t>
      </w:r>
      <w:r w:rsidRPr="00EB6DBA">
        <w:rPr>
          <w:lang w:val="en-US"/>
        </w:rPr>
        <w:t xml:space="preserve"> (if PAN available)</w:t>
      </w:r>
    </w:p>
    <w:p w14:paraId="7150A9FD" w14:textId="714EF5E1" w:rsidR="00EB6DBA" w:rsidRPr="00EB6DBA" w:rsidRDefault="00EB6DBA" w:rsidP="00E962BF">
      <w:pPr>
        <w:pStyle w:val="ListParagraph"/>
        <w:numPr>
          <w:ilvl w:val="0"/>
          <w:numId w:val="9"/>
        </w:numPr>
        <w:ind w:left="709" w:hanging="283"/>
        <w:rPr>
          <w:color w:val="FF0000"/>
        </w:rPr>
      </w:pPr>
      <w:r w:rsidRPr="00EB6DBA">
        <w:rPr>
          <w:color w:val="FF0000"/>
        </w:rPr>
        <w:t>0%</w:t>
      </w:r>
    </w:p>
    <w:p w14:paraId="73D46E18" w14:textId="3C526D50" w:rsidR="00EB6DBA" w:rsidRDefault="00EB6DBA" w:rsidP="00E962BF">
      <w:pPr>
        <w:pStyle w:val="ListParagraph"/>
        <w:numPr>
          <w:ilvl w:val="0"/>
          <w:numId w:val="9"/>
        </w:numPr>
        <w:ind w:left="709" w:hanging="283"/>
      </w:pPr>
      <w:r>
        <w:t>1%</w:t>
      </w:r>
    </w:p>
    <w:p w14:paraId="2EA251A6" w14:textId="7325EDAC" w:rsidR="00EB6DBA" w:rsidRDefault="00EB6DBA" w:rsidP="00E962BF">
      <w:pPr>
        <w:pStyle w:val="ListParagraph"/>
        <w:numPr>
          <w:ilvl w:val="0"/>
          <w:numId w:val="9"/>
        </w:numPr>
        <w:ind w:left="709" w:hanging="283"/>
      </w:pPr>
      <w:r>
        <w:t>2%</w:t>
      </w:r>
    </w:p>
    <w:p w14:paraId="1E6867C5" w14:textId="2431925C" w:rsidR="00EB6DBA" w:rsidRDefault="00EB6DBA" w:rsidP="00EB6DBA">
      <w:pPr>
        <w:pStyle w:val="ListParagraph"/>
        <w:numPr>
          <w:ilvl w:val="0"/>
          <w:numId w:val="9"/>
        </w:numPr>
        <w:ind w:left="709" w:hanging="283"/>
      </w:pPr>
      <w:r>
        <w:t>10%</w:t>
      </w:r>
    </w:p>
    <w:p w14:paraId="596C77DB" w14:textId="77777777" w:rsidR="00E962BF" w:rsidRDefault="00E962BF" w:rsidP="00E962BF"/>
    <w:p w14:paraId="2B34454E" w14:textId="77777777" w:rsidR="00EB6DBA" w:rsidRPr="00EB6DBA" w:rsidRDefault="00EB6DBA" w:rsidP="00EB6DBA">
      <w:pPr>
        <w:pStyle w:val="ListParagraph"/>
        <w:numPr>
          <w:ilvl w:val="0"/>
          <w:numId w:val="2"/>
        </w:numPr>
      </w:pPr>
      <w:r w:rsidRPr="00EB6DBA">
        <w:rPr>
          <w:lang w:val="en-US"/>
        </w:rPr>
        <w:t>No tax is required to be deducted in the following cases</w:t>
      </w:r>
      <w:r>
        <w:rPr>
          <w:lang w:val="en-US"/>
        </w:rPr>
        <w:t xml:space="preserve"> w</w:t>
      </w:r>
      <w:r w:rsidRPr="00EB6DBA">
        <w:rPr>
          <w:lang w:val="en-US"/>
        </w:rPr>
        <w:t xml:space="preserve">here the sum paid or credited in pursuance of any contract does not exceed </w:t>
      </w:r>
    </w:p>
    <w:p w14:paraId="0D9F1BC5" w14:textId="40DB0FEC" w:rsidR="00EB6DBA" w:rsidRPr="003A3044" w:rsidRDefault="00EB6DBA" w:rsidP="00EB6DBA">
      <w:pPr>
        <w:pStyle w:val="ListParagraph"/>
        <w:numPr>
          <w:ilvl w:val="0"/>
          <w:numId w:val="11"/>
        </w:numPr>
      </w:pPr>
      <w:r w:rsidRPr="00EB6DBA">
        <w:rPr>
          <w:lang w:val="en-US"/>
        </w:rPr>
        <w:t xml:space="preserve">Rs. </w:t>
      </w:r>
      <w:r>
        <w:rPr>
          <w:lang w:val="en-US"/>
        </w:rPr>
        <w:t>10</w:t>
      </w:r>
      <w:r w:rsidRPr="00EB6DBA">
        <w:rPr>
          <w:lang w:val="en-US"/>
        </w:rPr>
        <w:t>0,000</w:t>
      </w:r>
    </w:p>
    <w:p w14:paraId="27B8B9D2" w14:textId="779E20B4" w:rsidR="00EB6DBA" w:rsidRPr="003A3044" w:rsidRDefault="00EB6DBA" w:rsidP="00EB6DBA">
      <w:pPr>
        <w:pStyle w:val="ListParagraph"/>
        <w:numPr>
          <w:ilvl w:val="0"/>
          <w:numId w:val="11"/>
        </w:numPr>
      </w:pPr>
      <w:r w:rsidRPr="00EB6DBA">
        <w:rPr>
          <w:lang w:val="en-US"/>
        </w:rPr>
        <w:t xml:space="preserve">Rs. </w:t>
      </w:r>
      <w:r>
        <w:rPr>
          <w:lang w:val="en-US"/>
        </w:rPr>
        <w:t>5</w:t>
      </w:r>
      <w:r w:rsidRPr="00EB6DBA">
        <w:rPr>
          <w:lang w:val="en-US"/>
        </w:rPr>
        <w:t>0,000</w:t>
      </w:r>
    </w:p>
    <w:p w14:paraId="74BD761E" w14:textId="77777777" w:rsidR="00EB6DBA" w:rsidRPr="00EB6DBA" w:rsidRDefault="00EB6DBA" w:rsidP="00EB6DBA">
      <w:pPr>
        <w:pStyle w:val="ListParagraph"/>
        <w:numPr>
          <w:ilvl w:val="0"/>
          <w:numId w:val="11"/>
        </w:numPr>
        <w:rPr>
          <w:color w:val="FF0000"/>
        </w:rPr>
      </w:pPr>
      <w:r w:rsidRPr="00EB6DBA">
        <w:rPr>
          <w:color w:val="FF0000"/>
          <w:lang w:val="en-US"/>
        </w:rPr>
        <w:t>Rs. 30,000</w:t>
      </w:r>
    </w:p>
    <w:p w14:paraId="23694C05" w14:textId="71D33D9D" w:rsidR="00EB6DBA" w:rsidRPr="00EB6DBA" w:rsidRDefault="00EB6DBA" w:rsidP="00EB6DBA">
      <w:pPr>
        <w:pStyle w:val="ListParagraph"/>
        <w:numPr>
          <w:ilvl w:val="0"/>
          <w:numId w:val="11"/>
        </w:numPr>
      </w:pPr>
      <w:r w:rsidRPr="00EB6DBA">
        <w:rPr>
          <w:lang w:val="en-US"/>
        </w:rPr>
        <w:t xml:space="preserve">Rs. </w:t>
      </w:r>
      <w:r>
        <w:rPr>
          <w:lang w:val="en-US"/>
        </w:rPr>
        <w:t>1</w:t>
      </w:r>
      <w:r w:rsidRPr="00EB6DBA">
        <w:rPr>
          <w:lang w:val="en-US"/>
        </w:rPr>
        <w:t>0,000</w:t>
      </w:r>
    </w:p>
    <w:p w14:paraId="62B88D8E" w14:textId="77777777" w:rsidR="00EB6DBA" w:rsidRDefault="00EB6DBA" w:rsidP="00EB6DBA"/>
    <w:p w14:paraId="3276B989" w14:textId="59A204C9" w:rsidR="00EB6DBA" w:rsidRPr="00E962BF" w:rsidRDefault="00EB6DBA" w:rsidP="00EB6DBA">
      <w:pPr>
        <w:pStyle w:val="ListParagraph"/>
        <w:numPr>
          <w:ilvl w:val="0"/>
          <w:numId w:val="2"/>
        </w:numPr>
      </w:pPr>
      <w:r w:rsidRPr="00EB6DBA">
        <w:rPr>
          <w:b/>
          <w:bCs/>
          <w:lang w:val="en-US"/>
        </w:rPr>
        <w:t>What is the rate of TDS under Section 194D</w:t>
      </w:r>
      <w:r>
        <w:rPr>
          <w:b/>
          <w:bCs/>
          <w:lang w:val="en-US"/>
        </w:rPr>
        <w:t xml:space="preserve"> (</w:t>
      </w:r>
      <w:r w:rsidRPr="00EB6DBA">
        <w:rPr>
          <w:b/>
          <w:bCs/>
        </w:rPr>
        <w:t>TDS on Insurance Commission</w:t>
      </w:r>
      <w:r>
        <w:rPr>
          <w:b/>
          <w:bCs/>
        </w:rPr>
        <w:t xml:space="preserve">) when amount credited to </w:t>
      </w:r>
      <w:r w:rsidRPr="00EB6DBA">
        <w:rPr>
          <w:lang w:val="en-US"/>
        </w:rPr>
        <w:t>Persons other than a company</w:t>
      </w:r>
      <w:r w:rsidRPr="00EB6DBA">
        <w:rPr>
          <w:lang w:val="en-US"/>
        </w:rPr>
        <w:t xml:space="preserve"> &amp; PAN is available</w:t>
      </w:r>
    </w:p>
    <w:p w14:paraId="6C0D5668" w14:textId="3F16BEA4" w:rsidR="00EB6DBA" w:rsidRPr="00E962BF" w:rsidRDefault="00E962BF" w:rsidP="00E962BF">
      <w:pPr>
        <w:pStyle w:val="ListParagraph"/>
        <w:numPr>
          <w:ilvl w:val="0"/>
          <w:numId w:val="12"/>
        </w:numPr>
      </w:pPr>
      <w:r w:rsidRPr="00E962BF">
        <w:rPr>
          <w:b/>
          <w:bCs/>
          <w:lang w:val="en-US"/>
        </w:rPr>
        <w:t>20%</w:t>
      </w:r>
    </w:p>
    <w:p w14:paraId="1C54F26A" w14:textId="0AE1043B" w:rsidR="00E962BF" w:rsidRPr="00E962BF" w:rsidRDefault="00E962BF" w:rsidP="00E962BF">
      <w:pPr>
        <w:pStyle w:val="ListParagraph"/>
        <w:numPr>
          <w:ilvl w:val="0"/>
          <w:numId w:val="12"/>
        </w:numPr>
      </w:pPr>
      <w:r w:rsidRPr="00E962BF">
        <w:rPr>
          <w:b/>
          <w:bCs/>
          <w:lang w:val="en-US"/>
        </w:rPr>
        <w:t>10%</w:t>
      </w:r>
    </w:p>
    <w:p w14:paraId="4D668810" w14:textId="2400B72F" w:rsidR="00E962BF" w:rsidRPr="00E962BF" w:rsidRDefault="00E962BF" w:rsidP="00E962BF">
      <w:pPr>
        <w:pStyle w:val="ListParagraph"/>
        <w:numPr>
          <w:ilvl w:val="0"/>
          <w:numId w:val="12"/>
        </w:numPr>
        <w:rPr>
          <w:color w:val="FF0000"/>
        </w:rPr>
      </w:pPr>
      <w:r w:rsidRPr="00E962BF">
        <w:rPr>
          <w:b/>
          <w:bCs/>
          <w:color w:val="FF0000"/>
          <w:lang w:val="en-US"/>
        </w:rPr>
        <w:t>5%</w:t>
      </w:r>
    </w:p>
    <w:p w14:paraId="394B6CEC" w14:textId="62CA5FD0" w:rsidR="00E962BF" w:rsidRPr="00E962BF" w:rsidRDefault="00E962BF" w:rsidP="00E962BF">
      <w:pPr>
        <w:pStyle w:val="ListParagraph"/>
        <w:numPr>
          <w:ilvl w:val="0"/>
          <w:numId w:val="12"/>
        </w:numPr>
      </w:pPr>
      <w:r w:rsidRPr="00E962BF">
        <w:rPr>
          <w:b/>
          <w:bCs/>
          <w:lang w:val="en-US"/>
        </w:rPr>
        <w:t>0%</w:t>
      </w:r>
    </w:p>
    <w:p w14:paraId="304FF113" w14:textId="563F1612" w:rsidR="003A3044" w:rsidRDefault="003A3044" w:rsidP="003A3044">
      <w:pPr>
        <w:pStyle w:val="ListParagraph"/>
      </w:pPr>
    </w:p>
    <w:p w14:paraId="07CCE524" w14:textId="378719BC" w:rsidR="00E962BF" w:rsidRPr="00E962BF" w:rsidRDefault="00E962BF" w:rsidP="00E962BF">
      <w:pPr>
        <w:pStyle w:val="ListParagraph"/>
        <w:numPr>
          <w:ilvl w:val="0"/>
          <w:numId w:val="2"/>
        </w:numPr>
      </w:pPr>
      <w:r w:rsidRPr="00EB6DBA">
        <w:rPr>
          <w:b/>
          <w:bCs/>
          <w:lang w:val="en-US"/>
        </w:rPr>
        <w:t>What is the rate of TDS under Section 194D</w:t>
      </w:r>
      <w:r>
        <w:rPr>
          <w:b/>
          <w:bCs/>
          <w:lang w:val="en-US"/>
        </w:rPr>
        <w:t xml:space="preserve"> (</w:t>
      </w:r>
      <w:r w:rsidRPr="00EB6DBA">
        <w:rPr>
          <w:b/>
          <w:bCs/>
        </w:rPr>
        <w:t>TDS on Insurance Commission</w:t>
      </w:r>
      <w:r>
        <w:rPr>
          <w:b/>
          <w:bCs/>
        </w:rPr>
        <w:t xml:space="preserve">) when amount credited to </w:t>
      </w:r>
      <w:r w:rsidRPr="00E962BF">
        <w:t>Domestic Company</w:t>
      </w:r>
      <w:r>
        <w:t xml:space="preserve"> </w:t>
      </w:r>
      <w:r w:rsidRPr="00E962BF">
        <w:rPr>
          <w:lang w:val="en-US"/>
        </w:rPr>
        <w:t>&amp; PAN is available</w:t>
      </w:r>
    </w:p>
    <w:p w14:paraId="441C2893" w14:textId="77777777" w:rsidR="00E962BF" w:rsidRPr="00E962BF" w:rsidRDefault="00E962BF" w:rsidP="00E962BF">
      <w:pPr>
        <w:pStyle w:val="ListParagraph"/>
        <w:numPr>
          <w:ilvl w:val="0"/>
          <w:numId w:val="13"/>
        </w:numPr>
      </w:pPr>
      <w:r w:rsidRPr="00E962BF">
        <w:rPr>
          <w:b/>
          <w:bCs/>
          <w:lang w:val="en-US"/>
        </w:rPr>
        <w:t>20%</w:t>
      </w:r>
    </w:p>
    <w:p w14:paraId="074D607B" w14:textId="77777777" w:rsidR="00E962BF" w:rsidRPr="00E962BF" w:rsidRDefault="00E962BF" w:rsidP="00E962BF">
      <w:pPr>
        <w:pStyle w:val="ListParagraph"/>
        <w:numPr>
          <w:ilvl w:val="0"/>
          <w:numId w:val="13"/>
        </w:numPr>
        <w:rPr>
          <w:color w:val="FF0000"/>
        </w:rPr>
      </w:pPr>
      <w:r w:rsidRPr="00E962BF">
        <w:rPr>
          <w:b/>
          <w:bCs/>
          <w:color w:val="FF0000"/>
          <w:lang w:val="en-US"/>
        </w:rPr>
        <w:t>10%</w:t>
      </w:r>
    </w:p>
    <w:p w14:paraId="3E7AF054" w14:textId="77777777" w:rsidR="00E962BF" w:rsidRPr="00E962BF" w:rsidRDefault="00E962BF" w:rsidP="00E962BF">
      <w:pPr>
        <w:pStyle w:val="ListParagraph"/>
        <w:numPr>
          <w:ilvl w:val="0"/>
          <w:numId w:val="13"/>
        </w:numPr>
      </w:pPr>
      <w:r w:rsidRPr="00E962BF">
        <w:rPr>
          <w:b/>
          <w:bCs/>
          <w:lang w:val="en-US"/>
        </w:rPr>
        <w:t>5%</w:t>
      </w:r>
    </w:p>
    <w:p w14:paraId="0D628F59" w14:textId="77777777" w:rsidR="00E962BF" w:rsidRPr="00E962BF" w:rsidRDefault="00E962BF" w:rsidP="00E962BF">
      <w:pPr>
        <w:pStyle w:val="ListParagraph"/>
        <w:numPr>
          <w:ilvl w:val="0"/>
          <w:numId w:val="13"/>
        </w:numPr>
      </w:pPr>
      <w:r w:rsidRPr="00E962BF">
        <w:rPr>
          <w:b/>
          <w:bCs/>
          <w:lang w:val="en-US"/>
        </w:rPr>
        <w:t>0%</w:t>
      </w:r>
    </w:p>
    <w:p w14:paraId="116F6676" w14:textId="77777777" w:rsidR="00E962BF" w:rsidRDefault="00E962BF" w:rsidP="00E962BF">
      <w:pPr>
        <w:ind w:left="360"/>
        <w:rPr>
          <w:b/>
          <w:bCs/>
          <w:lang w:val="en-US"/>
        </w:rPr>
      </w:pPr>
    </w:p>
    <w:p w14:paraId="715B8C4E" w14:textId="77777777" w:rsidR="00E962BF" w:rsidRPr="00E962BF" w:rsidRDefault="00E962BF" w:rsidP="00E962BF">
      <w:pPr>
        <w:pStyle w:val="ListParagraph"/>
        <w:numPr>
          <w:ilvl w:val="0"/>
          <w:numId w:val="2"/>
        </w:numPr>
      </w:pPr>
      <w:r w:rsidRPr="00E962BF">
        <w:rPr>
          <w:b/>
          <w:bCs/>
          <w:lang w:val="en-US"/>
        </w:rPr>
        <w:t>Due date to deposit TDS under section 194D</w:t>
      </w:r>
      <w:r>
        <w:rPr>
          <w:b/>
          <w:bCs/>
          <w:lang w:val="en-US"/>
        </w:rPr>
        <w:t xml:space="preserve"> - </w:t>
      </w:r>
      <w:r w:rsidRPr="00E962BF">
        <w:rPr>
          <w:lang w:val="en-US"/>
        </w:rPr>
        <w:t xml:space="preserve">The due date to collect and deposit tax deducted on commission paid to insurance agents is </w:t>
      </w:r>
    </w:p>
    <w:p w14:paraId="407F096E" w14:textId="5E795234" w:rsidR="00E962BF" w:rsidRPr="00E962BF" w:rsidRDefault="00E962BF" w:rsidP="00E962BF">
      <w:pPr>
        <w:pStyle w:val="ListParagraph"/>
        <w:numPr>
          <w:ilvl w:val="0"/>
          <w:numId w:val="14"/>
        </w:numPr>
      </w:pPr>
      <w:r>
        <w:rPr>
          <w:lang w:val="en-US"/>
        </w:rPr>
        <w:t>5</w:t>
      </w:r>
      <w:r w:rsidRPr="00E962BF">
        <w:rPr>
          <w:lang w:val="en-US"/>
        </w:rPr>
        <w:t>th of next month.</w:t>
      </w:r>
    </w:p>
    <w:p w14:paraId="27BE6429" w14:textId="77777777" w:rsidR="00E962BF" w:rsidRPr="00E962BF" w:rsidRDefault="00E962BF" w:rsidP="00E962BF">
      <w:pPr>
        <w:pStyle w:val="ListParagraph"/>
        <w:numPr>
          <w:ilvl w:val="0"/>
          <w:numId w:val="14"/>
        </w:numPr>
        <w:rPr>
          <w:color w:val="FF0000"/>
        </w:rPr>
      </w:pPr>
      <w:r w:rsidRPr="00E962BF">
        <w:rPr>
          <w:color w:val="FF0000"/>
          <w:lang w:val="en-US"/>
        </w:rPr>
        <w:t>7th of next month.</w:t>
      </w:r>
    </w:p>
    <w:p w14:paraId="4E152E18" w14:textId="429E46FB" w:rsidR="00E962BF" w:rsidRPr="00E962BF" w:rsidRDefault="00E962BF" w:rsidP="00E962BF">
      <w:pPr>
        <w:pStyle w:val="ListParagraph"/>
        <w:numPr>
          <w:ilvl w:val="0"/>
          <w:numId w:val="14"/>
        </w:numPr>
      </w:pPr>
      <w:r>
        <w:rPr>
          <w:lang w:val="en-US"/>
        </w:rPr>
        <w:t>10</w:t>
      </w:r>
      <w:r w:rsidRPr="00E962BF">
        <w:rPr>
          <w:lang w:val="en-US"/>
        </w:rPr>
        <w:t>th of next month.</w:t>
      </w:r>
    </w:p>
    <w:p w14:paraId="1D962736" w14:textId="75C81BB5" w:rsidR="00E962BF" w:rsidRPr="00E962BF" w:rsidRDefault="00E962BF" w:rsidP="00E962BF">
      <w:pPr>
        <w:pStyle w:val="ListParagraph"/>
        <w:numPr>
          <w:ilvl w:val="0"/>
          <w:numId w:val="14"/>
        </w:numPr>
      </w:pPr>
      <w:r>
        <w:rPr>
          <w:lang w:val="en-US"/>
        </w:rPr>
        <w:t>15</w:t>
      </w:r>
      <w:r w:rsidRPr="00E962BF">
        <w:rPr>
          <w:lang w:val="en-US"/>
        </w:rPr>
        <w:t>th of next month.</w:t>
      </w:r>
    </w:p>
    <w:p w14:paraId="4C6B59B0" w14:textId="77777777" w:rsidR="00E962BF" w:rsidRPr="00E962BF" w:rsidRDefault="00E962BF" w:rsidP="00E962BF"/>
    <w:p w14:paraId="5578A30E" w14:textId="2779D429" w:rsidR="00EB6DBA" w:rsidRPr="003A3044" w:rsidRDefault="00EB6DBA" w:rsidP="00E962BF">
      <w:pPr>
        <w:ind w:left="360"/>
      </w:pPr>
    </w:p>
    <w:p w14:paraId="10360134" w14:textId="77777777" w:rsidR="003A3044" w:rsidRPr="003A3044" w:rsidRDefault="003A3044" w:rsidP="003A3044">
      <w:pPr>
        <w:rPr>
          <w:color w:val="FF0000"/>
        </w:rPr>
      </w:pPr>
    </w:p>
    <w:sectPr w:rsidR="003A3044" w:rsidRPr="003A30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36750"/>
    <w:multiLevelType w:val="hybridMultilevel"/>
    <w:tmpl w:val="C10ED746"/>
    <w:lvl w:ilvl="0" w:tplc="40090019">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2210351"/>
    <w:multiLevelType w:val="hybridMultilevel"/>
    <w:tmpl w:val="F7D428A2"/>
    <w:lvl w:ilvl="0" w:tplc="40090019">
      <w:start w:val="1"/>
      <w:numFmt w:val="lowerLetter"/>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111B96"/>
    <w:multiLevelType w:val="hybridMultilevel"/>
    <w:tmpl w:val="3E10361A"/>
    <w:lvl w:ilvl="0" w:tplc="40090019">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C143035"/>
    <w:multiLevelType w:val="hybridMultilevel"/>
    <w:tmpl w:val="0BD8CA4E"/>
    <w:lvl w:ilvl="0" w:tplc="A42E0344">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7AE53A8"/>
    <w:multiLevelType w:val="hybridMultilevel"/>
    <w:tmpl w:val="3D16E4A6"/>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3E6B5C79"/>
    <w:multiLevelType w:val="hybridMultilevel"/>
    <w:tmpl w:val="AD1A6E04"/>
    <w:lvl w:ilvl="0" w:tplc="FF284454">
      <w:start w:val="1"/>
      <w:numFmt w:val="bullet"/>
      <w:lvlText w:val=""/>
      <w:lvlJc w:val="left"/>
      <w:pPr>
        <w:tabs>
          <w:tab w:val="num" w:pos="720"/>
        </w:tabs>
        <w:ind w:left="720" w:hanging="360"/>
      </w:pPr>
      <w:rPr>
        <w:rFonts w:ascii="Wingdings" w:hAnsi="Wingdings" w:hint="default"/>
      </w:rPr>
    </w:lvl>
    <w:lvl w:ilvl="1" w:tplc="9FA02E26" w:tentative="1">
      <w:start w:val="1"/>
      <w:numFmt w:val="bullet"/>
      <w:lvlText w:val=""/>
      <w:lvlJc w:val="left"/>
      <w:pPr>
        <w:tabs>
          <w:tab w:val="num" w:pos="1440"/>
        </w:tabs>
        <w:ind w:left="1440" w:hanging="360"/>
      </w:pPr>
      <w:rPr>
        <w:rFonts w:ascii="Wingdings" w:hAnsi="Wingdings" w:hint="default"/>
      </w:rPr>
    </w:lvl>
    <w:lvl w:ilvl="2" w:tplc="B5D641D4" w:tentative="1">
      <w:start w:val="1"/>
      <w:numFmt w:val="bullet"/>
      <w:lvlText w:val=""/>
      <w:lvlJc w:val="left"/>
      <w:pPr>
        <w:tabs>
          <w:tab w:val="num" w:pos="2160"/>
        </w:tabs>
        <w:ind w:left="2160" w:hanging="360"/>
      </w:pPr>
      <w:rPr>
        <w:rFonts w:ascii="Wingdings" w:hAnsi="Wingdings" w:hint="default"/>
      </w:rPr>
    </w:lvl>
    <w:lvl w:ilvl="3" w:tplc="D9E01720" w:tentative="1">
      <w:start w:val="1"/>
      <w:numFmt w:val="bullet"/>
      <w:lvlText w:val=""/>
      <w:lvlJc w:val="left"/>
      <w:pPr>
        <w:tabs>
          <w:tab w:val="num" w:pos="2880"/>
        </w:tabs>
        <w:ind w:left="2880" w:hanging="360"/>
      </w:pPr>
      <w:rPr>
        <w:rFonts w:ascii="Wingdings" w:hAnsi="Wingdings" w:hint="default"/>
      </w:rPr>
    </w:lvl>
    <w:lvl w:ilvl="4" w:tplc="6854C0E0" w:tentative="1">
      <w:start w:val="1"/>
      <w:numFmt w:val="bullet"/>
      <w:lvlText w:val=""/>
      <w:lvlJc w:val="left"/>
      <w:pPr>
        <w:tabs>
          <w:tab w:val="num" w:pos="3600"/>
        </w:tabs>
        <w:ind w:left="3600" w:hanging="360"/>
      </w:pPr>
      <w:rPr>
        <w:rFonts w:ascii="Wingdings" w:hAnsi="Wingdings" w:hint="default"/>
      </w:rPr>
    </w:lvl>
    <w:lvl w:ilvl="5" w:tplc="D5467272" w:tentative="1">
      <w:start w:val="1"/>
      <w:numFmt w:val="bullet"/>
      <w:lvlText w:val=""/>
      <w:lvlJc w:val="left"/>
      <w:pPr>
        <w:tabs>
          <w:tab w:val="num" w:pos="4320"/>
        </w:tabs>
        <w:ind w:left="4320" w:hanging="360"/>
      </w:pPr>
      <w:rPr>
        <w:rFonts w:ascii="Wingdings" w:hAnsi="Wingdings" w:hint="default"/>
      </w:rPr>
    </w:lvl>
    <w:lvl w:ilvl="6" w:tplc="1862F018" w:tentative="1">
      <w:start w:val="1"/>
      <w:numFmt w:val="bullet"/>
      <w:lvlText w:val=""/>
      <w:lvlJc w:val="left"/>
      <w:pPr>
        <w:tabs>
          <w:tab w:val="num" w:pos="5040"/>
        </w:tabs>
        <w:ind w:left="5040" w:hanging="360"/>
      </w:pPr>
      <w:rPr>
        <w:rFonts w:ascii="Wingdings" w:hAnsi="Wingdings" w:hint="default"/>
      </w:rPr>
    </w:lvl>
    <w:lvl w:ilvl="7" w:tplc="61AEB980" w:tentative="1">
      <w:start w:val="1"/>
      <w:numFmt w:val="bullet"/>
      <w:lvlText w:val=""/>
      <w:lvlJc w:val="left"/>
      <w:pPr>
        <w:tabs>
          <w:tab w:val="num" w:pos="5760"/>
        </w:tabs>
        <w:ind w:left="5760" w:hanging="360"/>
      </w:pPr>
      <w:rPr>
        <w:rFonts w:ascii="Wingdings" w:hAnsi="Wingdings" w:hint="default"/>
      </w:rPr>
    </w:lvl>
    <w:lvl w:ilvl="8" w:tplc="0A221F4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843DB7"/>
    <w:multiLevelType w:val="hybridMultilevel"/>
    <w:tmpl w:val="30B4FA9A"/>
    <w:lvl w:ilvl="0" w:tplc="40090019">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C505004"/>
    <w:multiLevelType w:val="hybridMultilevel"/>
    <w:tmpl w:val="C20026B8"/>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4FB1793B"/>
    <w:multiLevelType w:val="hybridMultilevel"/>
    <w:tmpl w:val="181A0142"/>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540C0AB8"/>
    <w:multiLevelType w:val="hybridMultilevel"/>
    <w:tmpl w:val="C480E964"/>
    <w:lvl w:ilvl="0" w:tplc="40090019">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B3F3809"/>
    <w:multiLevelType w:val="hybridMultilevel"/>
    <w:tmpl w:val="0BD8CA4E"/>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FFB458A"/>
    <w:multiLevelType w:val="hybridMultilevel"/>
    <w:tmpl w:val="4D2E6060"/>
    <w:lvl w:ilvl="0" w:tplc="40090019">
      <w:start w:val="1"/>
      <w:numFmt w:val="lowerLetter"/>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404ED8"/>
    <w:multiLevelType w:val="hybridMultilevel"/>
    <w:tmpl w:val="F800A13E"/>
    <w:lvl w:ilvl="0" w:tplc="3D986068">
      <w:start w:val="1"/>
      <w:numFmt w:val="bullet"/>
      <w:lvlText w:val=""/>
      <w:lvlJc w:val="left"/>
      <w:pPr>
        <w:tabs>
          <w:tab w:val="num" w:pos="720"/>
        </w:tabs>
        <w:ind w:left="720" w:hanging="360"/>
      </w:pPr>
      <w:rPr>
        <w:rFonts w:ascii="Wingdings" w:hAnsi="Wingdings" w:hint="default"/>
      </w:rPr>
    </w:lvl>
    <w:lvl w:ilvl="1" w:tplc="13F290B4" w:tentative="1">
      <w:start w:val="1"/>
      <w:numFmt w:val="bullet"/>
      <w:lvlText w:val=""/>
      <w:lvlJc w:val="left"/>
      <w:pPr>
        <w:tabs>
          <w:tab w:val="num" w:pos="1440"/>
        </w:tabs>
        <w:ind w:left="1440" w:hanging="360"/>
      </w:pPr>
      <w:rPr>
        <w:rFonts w:ascii="Wingdings" w:hAnsi="Wingdings" w:hint="default"/>
      </w:rPr>
    </w:lvl>
    <w:lvl w:ilvl="2" w:tplc="F50C6C66" w:tentative="1">
      <w:start w:val="1"/>
      <w:numFmt w:val="bullet"/>
      <w:lvlText w:val=""/>
      <w:lvlJc w:val="left"/>
      <w:pPr>
        <w:tabs>
          <w:tab w:val="num" w:pos="2160"/>
        </w:tabs>
        <w:ind w:left="2160" w:hanging="360"/>
      </w:pPr>
      <w:rPr>
        <w:rFonts w:ascii="Wingdings" w:hAnsi="Wingdings" w:hint="default"/>
      </w:rPr>
    </w:lvl>
    <w:lvl w:ilvl="3" w:tplc="1744EF9E" w:tentative="1">
      <w:start w:val="1"/>
      <w:numFmt w:val="bullet"/>
      <w:lvlText w:val=""/>
      <w:lvlJc w:val="left"/>
      <w:pPr>
        <w:tabs>
          <w:tab w:val="num" w:pos="2880"/>
        </w:tabs>
        <w:ind w:left="2880" w:hanging="360"/>
      </w:pPr>
      <w:rPr>
        <w:rFonts w:ascii="Wingdings" w:hAnsi="Wingdings" w:hint="default"/>
      </w:rPr>
    </w:lvl>
    <w:lvl w:ilvl="4" w:tplc="310C0894" w:tentative="1">
      <w:start w:val="1"/>
      <w:numFmt w:val="bullet"/>
      <w:lvlText w:val=""/>
      <w:lvlJc w:val="left"/>
      <w:pPr>
        <w:tabs>
          <w:tab w:val="num" w:pos="3600"/>
        </w:tabs>
        <w:ind w:left="3600" w:hanging="360"/>
      </w:pPr>
      <w:rPr>
        <w:rFonts w:ascii="Wingdings" w:hAnsi="Wingdings" w:hint="default"/>
      </w:rPr>
    </w:lvl>
    <w:lvl w:ilvl="5" w:tplc="7B1AF49E" w:tentative="1">
      <w:start w:val="1"/>
      <w:numFmt w:val="bullet"/>
      <w:lvlText w:val=""/>
      <w:lvlJc w:val="left"/>
      <w:pPr>
        <w:tabs>
          <w:tab w:val="num" w:pos="4320"/>
        </w:tabs>
        <w:ind w:left="4320" w:hanging="360"/>
      </w:pPr>
      <w:rPr>
        <w:rFonts w:ascii="Wingdings" w:hAnsi="Wingdings" w:hint="default"/>
      </w:rPr>
    </w:lvl>
    <w:lvl w:ilvl="6" w:tplc="07E67166" w:tentative="1">
      <w:start w:val="1"/>
      <w:numFmt w:val="bullet"/>
      <w:lvlText w:val=""/>
      <w:lvlJc w:val="left"/>
      <w:pPr>
        <w:tabs>
          <w:tab w:val="num" w:pos="5040"/>
        </w:tabs>
        <w:ind w:left="5040" w:hanging="360"/>
      </w:pPr>
      <w:rPr>
        <w:rFonts w:ascii="Wingdings" w:hAnsi="Wingdings" w:hint="default"/>
      </w:rPr>
    </w:lvl>
    <w:lvl w:ilvl="7" w:tplc="C4128BF4" w:tentative="1">
      <w:start w:val="1"/>
      <w:numFmt w:val="bullet"/>
      <w:lvlText w:val=""/>
      <w:lvlJc w:val="left"/>
      <w:pPr>
        <w:tabs>
          <w:tab w:val="num" w:pos="5760"/>
        </w:tabs>
        <w:ind w:left="5760" w:hanging="360"/>
      </w:pPr>
      <w:rPr>
        <w:rFonts w:ascii="Wingdings" w:hAnsi="Wingdings" w:hint="default"/>
      </w:rPr>
    </w:lvl>
    <w:lvl w:ilvl="8" w:tplc="81FC256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A86875"/>
    <w:multiLevelType w:val="hybridMultilevel"/>
    <w:tmpl w:val="412EFA2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13812384">
    <w:abstractNumId w:val="12"/>
  </w:num>
  <w:num w:numId="2" w16cid:durableId="1054546666">
    <w:abstractNumId w:val="3"/>
  </w:num>
  <w:num w:numId="3" w16cid:durableId="1727416431">
    <w:abstractNumId w:val="1"/>
  </w:num>
  <w:num w:numId="4" w16cid:durableId="908462794">
    <w:abstractNumId w:val="5"/>
  </w:num>
  <w:num w:numId="5" w16cid:durableId="2061896681">
    <w:abstractNumId w:val="11"/>
  </w:num>
  <w:num w:numId="6" w16cid:durableId="135680421">
    <w:abstractNumId w:val="13"/>
  </w:num>
  <w:num w:numId="7" w16cid:durableId="733508663">
    <w:abstractNumId w:val="4"/>
  </w:num>
  <w:num w:numId="8" w16cid:durableId="2114082495">
    <w:abstractNumId w:val="2"/>
  </w:num>
  <w:num w:numId="9" w16cid:durableId="1683974259">
    <w:abstractNumId w:val="7"/>
  </w:num>
  <w:num w:numId="10" w16cid:durableId="1947958051">
    <w:abstractNumId w:val="10"/>
  </w:num>
  <w:num w:numId="11" w16cid:durableId="1264000947">
    <w:abstractNumId w:val="8"/>
  </w:num>
  <w:num w:numId="12" w16cid:durableId="1579905902">
    <w:abstractNumId w:val="6"/>
  </w:num>
  <w:num w:numId="13" w16cid:durableId="623073681">
    <w:abstractNumId w:val="0"/>
  </w:num>
  <w:num w:numId="14" w16cid:durableId="17523109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8A3"/>
    <w:rsid w:val="000D30C7"/>
    <w:rsid w:val="003A3044"/>
    <w:rsid w:val="008B4A5E"/>
    <w:rsid w:val="00B006C3"/>
    <w:rsid w:val="00E1601E"/>
    <w:rsid w:val="00E962BF"/>
    <w:rsid w:val="00EB6DBA"/>
    <w:rsid w:val="00F348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CAC03"/>
  <w15:chartTrackingRefBased/>
  <w15:docId w15:val="{B364C5A1-2D6E-4EB8-B5D0-F71EF0DEB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044"/>
    <w:pPr>
      <w:ind w:left="720"/>
      <w:contextualSpacing/>
    </w:pPr>
  </w:style>
  <w:style w:type="paragraph" w:styleId="NormalWeb">
    <w:name w:val="Normal (Web)"/>
    <w:basedOn w:val="Normal"/>
    <w:uiPriority w:val="99"/>
    <w:semiHidden/>
    <w:unhideWhenUsed/>
    <w:rsid w:val="003A304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01545">
      <w:bodyDiv w:val="1"/>
      <w:marLeft w:val="0"/>
      <w:marRight w:val="0"/>
      <w:marTop w:val="0"/>
      <w:marBottom w:val="0"/>
      <w:divBdr>
        <w:top w:val="none" w:sz="0" w:space="0" w:color="auto"/>
        <w:left w:val="none" w:sz="0" w:space="0" w:color="auto"/>
        <w:bottom w:val="none" w:sz="0" w:space="0" w:color="auto"/>
        <w:right w:val="none" w:sz="0" w:space="0" w:color="auto"/>
      </w:divBdr>
    </w:div>
    <w:div w:id="203371957">
      <w:bodyDiv w:val="1"/>
      <w:marLeft w:val="0"/>
      <w:marRight w:val="0"/>
      <w:marTop w:val="0"/>
      <w:marBottom w:val="0"/>
      <w:divBdr>
        <w:top w:val="none" w:sz="0" w:space="0" w:color="auto"/>
        <w:left w:val="none" w:sz="0" w:space="0" w:color="auto"/>
        <w:bottom w:val="none" w:sz="0" w:space="0" w:color="auto"/>
        <w:right w:val="none" w:sz="0" w:space="0" w:color="auto"/>
      </w:divBdr>
      <w:divsChild>
        <w:div w:id="671106175">
          <w:marLeft w:val="547"/>
          <w:marRight w:val="0"/>
          <w:marTop w:val="0"/>
          <w:marBottom w:val="0"/>
          <w:divBdr>
            <w:top w:val="none" w:sz="0" w:space="0" w:color="auto"/>
            <w:left w:val="none" w:sz="0" w:space="0" w:color="auto"/>
            <w:bottom w:val="none" w:sz="0" w:space="0" w:color="auto"/>
            <w:right w:val="none" w:sz="0" w:space="0" w:color="auto"/>
          </w:divBdr>
        </w:div>
        <w:div w:id="2003503776">
          <w:marLeft w:val="547"/>
          <w:marRight w:val="0"/>
          <w:marTop w:val="0"/>
          <w:marBottom w:val="0"/>
          <w:divBdr>
            <w:top w:val="none" w:sz="0" w:space="0" w:color="auto"/>
            <w:left w:val="none" w:sz="0" w:space="0" w:color="auto"/>
            <w:bottom w:val="none" w:sz="0" w:space="0" w:color="auto"/>
            <w:right w:val="none" w:sz="0" w:space="0" w:color="auto"/>
          </w:divBdr>
        </w:div>
        <w:div w:id="1244411001">
          <w:marLeft w:val="547"/>
          <w:marRight w:val="0"/>
          <w:marTop w:val="0"/>
          <w:marBottom w:val="0"/>
          <w:divBdr>
            <w:top w:val="none" w:sz="0" w:space="0" w:color="auto"/>
            <w:left w:val="none" w:sz="0" w:space="0" w:color="auto"/>
            <w:bottom w:val="none" w:sz="0" w:space="0" w:color="auto"/>
            <w:right w:val="none" w:sz="0" w:space="0" w:color="auto"/>
          </w:divBdr>
        </w:div>
      </w:divsChild>
    </w:div>
    <w:div w:id="346253568">
      <w:bodyDiv w:val="1"/>
      <w:marLeft w:val="0"/>
      <w:marRight w:val="0"/>
      <w:marTop w:val="0"/>
      <w:marBottom w:val="0"/>
      <w:divBdr>
        <w:top w:val="none" w:sz="0" w:space="0" w:color="auto"/>
        <w:left w:val="none" w:sz="0" w:space="0" w:color="auto"/>
        <w:bottom w:val="none" w:sz="0" w:space="0" w:color="auto"/>
        <w:right w:val="none" w:sz="0" w:space="0" w:color="auto"/>
      </w:divBdr>
      <w:divsChild>
        <w:div w:id="1475223011">
          <w:marLeft w:val="547"/>
          <w:marRight w:val="0"/>
          <w:marTop w:val="0"/>
          <w:marBottom w:val="0"/>
          <w:divBdr>
            <w:top w:val="none" w:sz="0" w:space="0" w:color="auto"/>
            <w:left w:val="none" w:sz="0" w:space="0" w:color="auto"/>
            <w:bottom w:val="none" w:sz="0" w:space="0" w:color="auto"/>
            <w:right w:val="none" w:sz="0" w:space="0" w:color="auto"/>
          </w:divBdr>
        </w:div>
        <w:div w:id="561141057">
          <w:marLeft w:val="547"/>
          <w:marRight w:val="0"/>
          <w:marTop w:val="0"/>
          <w:marBottom w:val="0"/>
          <w:divBdr>
            <w:top w:val="none" w:sz="0" w:space="0" w:color="auto"/>
            <w:left w:val="none" w:sz="0" w:space="0" w:color="auto"/>
            <w:bottom w:val="none" w:sz="0" w:space="0" w:color="auto"/>
            <w:right w:val="none" w:sz="0" w:space="0" w:color="auto"/>
          </w:divBdr>
        </w:div>
        <w:div w:id="1117093248">
          <w:marLeft w:val="547"/>
          <w:marRight w:val="0"/>
          <w:marTop w:val="0"/>
          <w:marBottom w:val="0"/>
          <w:divBdr>
            <w:top w:val="none" w:sz="0" w:space="0" w:color="auto"/>
            <w:left w:val="none" w:sz="0" w:space="0" w:color="auto"/>
            <w:bottom w:val="none" w:sz="0" w:space="0" w:color="auto"/>
            <w:right w:val="none" w:sz="0" w:space="0" w:color="auto"/>
          </w:divBdr>
        </w:div>
        <w:div w:id="1688629481">
          <w:marLeft w:val="547"/>
          <w:marRight w:val="0"/>
          <w:marTop w:val="0"/>
          <w:marBottom w:val="0"/>
          <w:divBdr>
            <w:top w:val="none" w:sz="0" w:space="0" w:color="auto"/>
            <w:left w:val="none" w:sz="0" w:space="0" w:color="auto"/>
            <w:bottom w:val="none" w:sz="0" w:space="0" w:color="auto"/>
            <w:right w:val="none" w:sz="0" w:space="0" w:color="auto"/>
          </w:divBdr>
        </w:div>
        <w:div w:id="1711222694">
          <w:marLeft w:val="547"/>
          <w:marRight w:val="0"/>
          <w:marTop w:val="0"/>
          <w:marBottom w:val="0"/>
          <w:divBdr>
            <w:top w:val="none" w:sz="0" w:space="0" w:color="auto"/>
            <w:left w:val="none" w:sz="0" w:space="0" w:color="auto"/>
            <w:bottom w:val="none" w:sz="0" w:space="0" w:color="auto"/>
            <w:right w:val="none" w:sz="0" w:space="0" w:color="auto"/>
          </w:divBdr>
        </w:div>
      </w:divsChild>
    </w:div>
    <w:div w:id="443037810">
      <w:bodyDiv w:val="1"/>
      <w:marLeft w:val="0"/>
      <w:marRight w:val="0"/>
      <w:marTop w:val="0"/>
      <w:marBottom w:val="0"/>
      <w:divBdr>
        <w:top w:val="none" w:sz="0" w:space="0" w:color="auto"/>
        <w:left w:val="none" w:sz="0" w:space="0" w:color="auto"/>
        <w:bottom w:val="none" w:sz="0" w:space="0" w:color="auto"/>
        <w:right w:val="none" w:sz="0" w:space="0" w:color="auto"/>
      </w:divBdr>
    </w:div>
    <w:div w:id="839124248">
      <w:bodyDiv w:val="1"/>
      <w:marLeft w:val="0"/>
      <w:marRight w:val="0"/>
      <w:marTop w:val="0"/>
      <w:marBottom w:val="0"/>
      <w:divBdr>
        <w:top w:val="none" w:sz="0" w:space="0" w:color="auto"/>
        <w:left w:val="none" w:sz="0" w:space="0" w:color="auto"/>
        <w:bottom w:val="none" w:sz="0" w:space="0" w:color="auto"/>
        <w:right w:val="none" w:sz="0" w:space="0" w:color="auto"/>
      </w:divBdr>
    </w:div>
    <w:div w:id="1005010181">
      <w:bodyDiv w:val="1"/>
      <w:marLeft w:val="0"/>
      <w:marRight w:val="0"/>
      <w:marTop w:val="0"/>
      <w:marBottom w:val="0"/>
      <w:divBdr>
        <w:top w:val="none" w:sz="0" w:space="0" w:color="auto"/>
        <w:left w:val="none" w:sz="0" w:space="0" w:color="auto"/>
        <w:bottom w:val="none" w:sz="0" w:space="0" w:color="auto"/>
        <w:right w:val="none" w:sz="0" w:space="0" w:color="auto"/>
      </w:divBdr>
    </w:div>
    <w:div w:id="1648049175">
      <w:bodyDiv w:val="1"/>
      <w:marLeft w:val="0"/>
      <w:marRight w:val="0"/>
      <w:marTop w:val="0"/>
      <w:marBottom w:val="0"/>
      <w:divBdr>
        <w:top w:val="none" w:sz="0" w:space="0" w:color="auto"/>
        <w:left w:val="none" w:sz="0" w:space="0" w:color="auto"/>
        <w:bottom w:val="none" w:sz="0" w:space="0" w:color="auto"/>
        <w:right w:val="none" w:sz="0" w:space="0" w:color="auto"/>
      </w:divBdr>
    </w:div>
    <w:div w:id="1774596280">
      <w:bodyDiv w:val="1"/>
      <w:marLeft w:val="0"/>
      <w:marRight w:val="0"/>
      <w:marTop w:val="0"/>
      <w:marBottom w:val="0"/>
      <w:divBdr>
        <w:top w:val="none" w:sz="0" w:space="0" w:color="auto"/>
        <w:left w:val="none" w:sz="0" w:space="0" w:color="auto"/>
        <w:bottom w:val="none" w:sz="0" w:space="0" w:color="auto"/>
        <w:right w:val="none" w:sz="0" w:space="0" w:color="auto"/>
      </w:divBdr>
    </w:div>
    <w:div w:id="1819033873">
      <w:bodyDiv w:val="1"/>
      <w:marLeft w:val="0"/>
      <w:marRight w:val="0"/>
      <w:marTop w:val="0"/>
      <w:marBottom w:val="0"/>
      <w:divBdr>
        <w:top w:val="none" w:sz="0" w:space="0" w:color="auto"/>
        <w:left w:val="none" w:sz="0" w:space="0" w:color="auto"/>
        <w:bottom w:val="none" w:sz="0" w:space="0" w:color="auto"/>
        <w:right w:val="none" w:sz="0" w:space="0" w:color="auto"/>
      </w:divBdr>
    </w:div>
    <w:div w:id="1939175545">
      <w:bodyDiv w:val="1"/>
      <w:marLeft w:val="0"/>
      <w:marRight w:val="0"/>
      <w:marTop w:val="0"/>
      <w:marBottom w:val="0"/>
      <w:divBdr>
        <w:top w:val="none" w:sz="0" w:space="0" w:color="auto"/>
        <w:left w:val="none" w:sz="0" w:space="0" w:color="auto"/>
        <w:bottom w:val="none" w:sz="0" w:space="0" w:color="auto"/>
        <w:right w:val="none" w:sz="0" w:space="0" w:color="auto"/>
      </w:divBdr>
    </w:div>
    <w:div w:id="1960800869">
      <w:bodyDiv w:val="1"/>
      <w:marLeft w:val="0"/>
      <w:marRight w:val="0"/>
      <w:marTop w:val="0"/>
      <w:marBottom w:val="0"/>
      <w:divBdr>
        <w:top w:val="none" w:sz="0" w:space="0" w:color="auto"/>
        <w:left w:val="none" w:sz="0" w:space="0" w:color="auto"/>
        <w:bottom w:val="none" w:sz="0" w:space="0" w:color="auto"/>
        <w:right w:val="none" w:sz="0" w:space="0" w:color="auto"/>
      </w:divBdr>
    </w:div>
    <w:div w:id="212036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Dey</dc:creator>
  <cp:keywords/>
  <dc:description/>
  <cp:lastModifiedBy>Amit Dey</cp:lastModifiedBy>
  <cp:revision>2</cp:revision>
  <dcterms:created xsi:type="dcterms:W3CDTF">2024-03-28T02:51:00Z</dcterms:created>
  <dcterms:modified xsi:type="dcterms:W3CDTF">2024-03-28T03:15:00Z</dcterms:modified>
</cp:coreProperties>
</file>