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FF" w:rsidRPr="00251DFF" w:rsidRDefault="00251DFF" w:rsidP="00251DF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51DFF">
        <w:rPr>
          <w:rFonts w:ascii="Cambria" w:eastAsia="Times New Roman" w:hAnsi="Cambria" w:cs="Times New Roman"/>
          <w:b/>
          <w:sz w:val="24"/>
          <w:szCs w:val="24"/>
          <w:u w:val="single"/>
        </w:rPr>
        <w:t>MCQ on Export Promotion Schemes Class Date_7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  <w:vertAlign w:val="superscript"/>
        </w:rPr>
        <w:t>th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</w:rPr>
        <w:t>, 8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  <w:vertAlign w:val="superscript"/>
        </w:rPr>
        <w:t>th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</w:rPr>
        <w:t>, 14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  <w:vertAlign w:val="superscript"/>
        </w:rPr>
        <w:t>th</w:t>
      </w:r>
      <w:r w:rsidRPr="00251DFF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and 15th September 2024</w:t>
      </w:r>
    </w:p>
    <w:p w:rsidR="00251DFF" w:rsidRDefault="00251DFF" w:rsidP="00251D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1. What is the primary purpose of an Advance Authorization under Customs?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allow duty-free import of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To allow duty-free import of inputs for export production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facilitate import of luxury items for domestic consumption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provide duty refunds for past imports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2. Under the Advance Authorization scheme, which of the following statements is true?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The imported inputs can be sold in the domestic market.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The imported inputs must be used for export production.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The imported inputs can be used for any purpose, export or otherwise.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The imported inputs must be re-exported without processing.</w:t>
      </w:r>
    </w:p>
    <w:p w:rsidR="00251DFF" w:rsidRPr="00251DFF" w:rsidRDefault="00251DFF" w:rsidP="00251D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3. Which authority issues the Advance Authorization in India?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Customs Department</w:t>
      </w:r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B) Directorate General of Foreign Trade (DGFT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br/>
        <w:t>C) Ministry of Finance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Reserve Bank of India (RBI)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4. What is the validity period of an Advance Authorization, from the date of its issue?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6 months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12 months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18 months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24 months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5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minimum value addition required for fulfilling export obligations under Advance Authorization?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A) 10%</w:t>
      </w:r>
      <w:r>
        <w:rPr>
          <w:rFonts w:ascii="Cambria" w:eastAsia="Times New Roman" w:hAnsi="Cambria" w:cs="Times New Roman"/>
          <w:sz w:val="24"/>
          <w:szCs w:val="24"/>
        </w:rPr>
        <w:br/>
        <w:t>B) 25%</w:t>
      </w:r>
      <w:r>
        <w:rPr>
          <w:rFonts w:ascii="Cambria" w:eastAsia="Times New Roman" w:hAnsi="Cambria" w:cs="Times New Roman"/>
          <w:sz w:val="24"/>
          <w:szCs w:val="24"/>
        </w:rPr>
        <w:br/>
        <w:t>C) 20%</w:t>
      </w:r>
      <w:r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15</w:t>
      </w:r>
      <w:r>
        <w:rPr>
          <w:rFonts w:ascii="Cambria" w:eastAsia="Times New Roman" w:hAnsi="Cambria" w:cs="Times New Roman"/>
          <w:sz w:val="24"/>
          <w:szCs w:val="24"/>
        </w:rPr>
        <w:t>%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6. 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Advance Authorization allows exemption from which of the following duties?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Basic Customs Duty (BCD</w:t>
      </w:r>
      <w:proofErr w:type="gramStart"/>
      <w:r w:rsidRPr="00251DFF">
        <w:rPr>
          <w:rFonts w:ascii="Cambria" w:eastAsia="Times New Roman" w:hAnsi="Cambria" w:cs="Times New Roman"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br/>
        <w:t>B) IGST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Compensation </w:t>
      </w:r>
      <w:proofErr w:type="spellStart"/>
      <w:r w:rsidRPr="00251DFF">
        <w:rPr>
          <w:rFonts w:ascii="Cambria" w:eastAsia="Times New Roman" w:hAnsi="Cambria" w:cs="Times New Roman"/>
          <w:sz w:val="24"/>
          <w:szCs w:val="24"/>
        </w:rPr>
        <w:t>Cess</w:t>
      </w:r>
      <w:proofErr w:type="spellEnd"/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D) All of the above</w:t>
      </w:r>
    </w:p>
    <w:p w:rsidR="00251DFF" w:rsidRPr="00251DFF" w:rsidRDefault="00251DFF" w:rsidP="00251D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7. 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What happens if the export obligation under Advance Authorization is not fulfilled within the stipulated time?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No action is taken.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The importer has to pay applicable duties along with interest</w:t>
      </w:r>
      <w:r w:rsidRPr="00251DFF">
        <w:rPr>
          <w:rFonts w:ascii="Cambria" w:eastAsia="Times New Roman" w:hAnsi="Cambria" w:cs="Times New Roman"/>
          <w:sz w:val="24"/>
          <w:szCs w:val="24"/>
        </w:rPr>
        <w:t>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The license is revoked without penalties.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The importer can extend the deadline indefinitely.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8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Can an Advance Authorization be availed for supplies made to Special Economic Zones (SEZ)?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) Yes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No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Only for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Only with special permission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9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main objective of the EPCG scheme?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promote the export of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sz w:val="24"/>
          <w:szCs w:val="24"/>
        </w:rPr>
        <w:t>To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t xml:space="preserve"> provide subsi</w:t>
      </w:r>
      <w:r>
        <w:rPr>
          <w:rFonts w:ascii="Cambria" w:eastAsia="Times New Roman" w:hAnsi="Cambria" w:cs="Times New Roman"/>
          <w:sz w:val="24"/>
          <w:szCs w:val="24"/>
        </w:rPr>
        <w:t>dies for capital goods purchase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To allow duty-free import of capital goods for producing export goods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 D) To restrict imports of capital goods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10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Under the EPCG scheme, capital goods can be imported at which of the following duty rates?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A) 25%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10%</w:t>
      </w:r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C) 0%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t>D) 5%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11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minimum export obligation under the EPCG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6 times the duty saved on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8 times the duty saved on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10 times the duty saved on capital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12 times the duty saved on capital goods</w:t>
      </w:r>
    </w:p>
    <w:p w:rsidR="00251DFF" w:rsidRPr="00251DFF" w:rsidRDefault="00251DFF" w:rsidP="00251DF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12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How long is the export obligation period under the EPCG scheme?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2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4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6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8 years</w:t>
      </w:r>
    </w:p>
    <w:p w:rsidR="00957D71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13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entities can apply for the EPCG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sz w:val="24"/>
          <w:szCs w:val="24"/>
        </w:rPr>
        <w:t>A) Service providers and manufacturers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Only manufacturers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Only service providers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Only exporters of raw materials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14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Capital goods imported under the EPCG scheme must be used for: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Domestic market sales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Export production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Personal use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Any commercial activity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15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Can second-hand capital goods be imported under the EPCG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A) Yes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No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Only with prior approval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Only for specific industries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16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happens if the export obligation under the EPCG scheme is not fulfilled?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No action is taken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The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importer must pay applicable duties with interest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The importer is exempted from all obligations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The capital goods are confiscated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17.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 What is the primary objective of the EOU/EHTP/STPI/BTP schemes?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promote the import of raw materials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To promote exports and earn foreign exchange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br/>
        <w:t>C</w:t>
      </w:r>
      <w:r w:rsidRPr="00251DFF">
        <w:rPr>
          <w:rFonts w:ascii="Cambria" w:eastAsia="Times New Roman" w:hAnsi="Cambria" w:cs="Times New Roman"/>
          <w:sz w:val="24"/>
          <w:szCs w:val="24"/>
        </w:rPr>
        <w:t>) To reduce domestic competition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allow duty-free imports for domestic sale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18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Under the EOU/EHTP/STPI/BTP schemes, units are allowed to import which of the following without paying duties?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Raw materials, capital goods, and consumables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Finished products for retail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Luxury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Consumer goods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19. What is the minimum 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Net Foreign Exchange (NFE) requirement for units operating under the EOU/EHTP/STPI/BTP schemes?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20%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50%</w:t>
      </w:r>
      <w:r w:rsidR="00957D71">
        <w:rPr>
          <w:rFonts w:ascii="Cambria" w:eastAsia="Times New Roman" w:hAnsi="Cambria" w:cs="Times New Roman"/>
          <w:sz w:val="24"/>
          <w:szCs w:val="24"/>
        </w:rPr>
        <w:br/>
        <w:t>C) 100%</w:t>
      </w:r>
      <w:r w:rsidR="00957D71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="00957D71" w:rsidRPr="00957D71">
        <w:rPr>
          <w:rFonts w:ascii="Cambria" w:eastAsia="Times New Roman" w:hAnsi="Cambria" w:cs="Times New Roman"/>
          <w:b/>
          <w:sz w:val="24"/>
          <w:szCs w:val="24"/>
        </w:rPr>
        <w:t>Positive FE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20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government body is responsible for overseeing the STPI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A) Ministry of Commerce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Ministry of Electronics and Information Technology (</w:t>
      </w:r>
      <w:proofErr w:type="spellStart"/>
      <w:r w:rsidRPr="00251DFF">
        <w:rPr>
          <w:rFonts w:ascii="Cambria" w:eastAsia="Times New Roman" w:hAnsi="Cambria" w:cs="Times New Roman"/>
          <w:b/>
          <w:sz w:val="24"/>
          <w:szCs w:val="24"/>
        </w:rPr>
        <w:t>MeitY</w:t>
      </w:r>
      <w:proofErr w:type="spellEnd"/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br/>
        <w:t>C) Ministry of Finance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Directorate General of Foreign Trade (DGFT)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21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Units operating under the EHTP scheme are primarily focused on: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Manufacturing of electronic hardware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Development of biotechnology products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Software exports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Textile exports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22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is true about BTP units?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They are restricted to exports of IT services only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They are involved in the export of biotechnology products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They can sell their entire production in the domestic market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They are exempt from all compliance requirements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23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Can units under the EOU/EHTP/STPI/BTP schemes sell goods in the Domestic Tariff Area (DTA)?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No, they are restricted to exports only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Yes, without any conditions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Yes, but subject to payment of applicable duties and fulfillment of positive NFE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Yes, but only 100% of production</w:t>
      </w:r>
    </w:p>
    <w:p w:rsidR="00251DFF" w:rsidRPr="00251DFF" w:rsidRDefault="00251DFF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24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initial validity period of Letter of Permission (</w:t>
      </w:r>
      <w:proofErr w:type="spellStart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LoP</w:t>
      </w:r>
      <w:proofErr w:type="spellEnd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) issued to EOUs?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2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5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10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Unlimited period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25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sectors can operate under the BTP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A) Information Technology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Pharmaceuticals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Biotechnology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Textiles</w:t>
      </w: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26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primary objective of establishing Special Economic Zones (SEZ)?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promote domestic retail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To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attract foreign direct investment (FDI) and boost exports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restrict imports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encourage local employment in agriculture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2</w:t>
      </w:r>
      <w:r w:rsidR="00957D71">
        <w:rPr>
          <w:rFonts w:ascii="Cambria" w:eastAsia="Times New Roman" w:hAnsi="Cambria" w:cs="Times New Roman"/>
          <w:b/>
          <w:bCs/>
          <w:sz w:val="24"/>
          <w:szCs w:val="24"/>
        </w:rPr>
        <w:t>7</w:t>
      </w:r>
      <w:r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activities can be carried out in an SEZ?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Only manufacturing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sz w:val="24"/>
          <w:szCs w:val="24"/>
        </w:rPr>
        <w:t>Only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t xml:space="preserve"> trading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Manufacturing, services, and trading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Only export of raw materials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28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are the benefits for units operating within an SEZ?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Full customs duty exemption on imports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Income tax exemption on export profits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Exemption from Goods and Services Tax (GST</w:t>
      </w:r>
      <w:proofErr w:type="gramStart"/>
      <w:r w:rsidRPr="00251DFF">
        <w:rPr>
          <w:rFonts w:ascii="Cambria" w:eastAsia="Times New Roman" w:hAnsi="Cambria" w:cs="Times New Roman"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All of the above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29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FTWZs (Free Trade and Warehousing Zones) are designed for which of the following purposes?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Promotion of local retail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Creation of large warehousing and trading hubs for re-export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Development of residential infrastructure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Encouragement of agricultural exports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30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government authority oversees the functioning of SEZs in India?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Reserve Bank of India (RBI)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Ministry of Commerce and Industry</w:t>
      </w:r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C) Ministry of Finance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Directorate General of Foreign Trade (DGFT)</w:t>
      </w:r>
    </w:p>
    <w:p w:rsidR="00251DFF" w:rsidRPr="00251DFF" w:rsidRDefault="00251DFF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31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is NOT a feature of an SEZ?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Duty-free imports of capital goods and raw materials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Income tax exemption for initial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Free movement of goods within the SEZ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Free access to the domestic market without customs duty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32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What is the primary function of a Free Trade and Warehousing Zone (FTWZ)?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promote agricultural exports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To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create warehousing infrastructure for goods meant for re-export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establish residential zones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develop domestic retail businesses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33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Can units in SEZs and FTWZs engage in domestic sales?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Yes, without any restrictions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Yes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>, but subject to payment of applicable duties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No, they can only export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Yes, but only for 100% export-oriented units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34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FTWZs are primarily aimed at which of the following sectors?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Trading, warehousing, and logistics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Real estate development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Agriculture and fisheries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Education and healthcare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35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How long is the initial tax holiday for SEZ units?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3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5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10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15 years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36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main purpose of the Duty Drawback scheme?</w:t>
      </w:r>
    </w:p>
    <w:p w:rsid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provide subsidies to exporters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To refund duties paid on imported or excisable goods used in the manufacturing of export goods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t>C) To promote imports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offer tax incentives for domestic sales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37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Who is eligible to claim Duty Drawback?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Only manufacturers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Only traders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C)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Exporters of goods who have paid import or excise duties on inputs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proofErr w:type="gramStart"/>
      <w:r w:rsidRPr="00251DFF">
        <w:rPr>
          <w:rFonts w:ascii="Cambria" w:eastAsia="Times New Roman" w:hAnsi="Cambria" w:cs="Times New Roman"/>
          <w:sz w:val="24"/>
          <w:szCs w:val="24"/>
        </w:rPr>
        <w:t>Only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t xml:space="preserve"> service providers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38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Under which act is the Duty Drawback scheme governed?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Foreign Trade (Development and Regulation) Act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Customs Act, 1962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GST Act, 2017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Income Tax Act</w:t>
      </w:r>
    </w:p>
    <w:p w:rsidR="00957D71" w:rsidRDefault="00957D71" w:rsidP="00251DFF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39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. What is the objective of the </w:t>
      </w:r>
      <w:proofErr w:type="spellStart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RoDTEP</w:t>
      </w:r>
      <w:proofErr w:type="spellEnd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 scheme?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provide direct subsidies to exporters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To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refund embedded taxes and duties not refunded under other schemes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replace the Duty Drawback scheme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promote import substitution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40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. Which scheme did </w:t>
      </w:r>
      <w:proofErr w:type="spellStart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RoDTEP</w:t>
      </w:r>
      <w:proofErr w:type="spellEnd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 replace in 2021?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b/>
          <w:sz w:val="24"/>
          <w:szCs w:val="24"/>
        </w:rPr>
        <w:t>A) MEIS (Merchandise Exports from India Scheme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sz w:val="24"/>
          <w:szCs w:val="24"/>
        </w:rPr>
        <w:br/>
        <w:t>B) EPCG (Export Promotion Capital Goods)</w:t>
      </w:r>
      <w:r w:rsidRPr="00251DFF">
        <w:rPr>
          <w:rFonts w:ascii="Cambria" w:eastAsia="Times New Roman" w:hAnsi="Cambria" w:cs="Times New Roman"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C) SEIS (Service Exports from India Scheme)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DEPB (Duty Entitlement Passbook Scheme)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41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. How is the </w:t>
      </w:r>
      <w:proofErr w:type="spellStart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RoDTEP</w:t>
      </w:r>
      <w:proofErr w:type="spellEnd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 benefit provided to exporters?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In the form of a cash refund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As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a transferable duty credit e-scrip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As a tax holiday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As a direct bank transfer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42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. Can both Duty Drawback and </w:t>
      </w:r>
      <w:proofErr w:type="spellStart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RoDTEP</w:t>
      </w:r>
      <w:proofErr w:type="spellEnd"/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 xml:space="preserve"> be claimed on the same export consignment?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Yes, but only on certain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No, it is prohibited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t xml:space="preserve">C) Yes, but </w:t>
      </w:r>
      <w:proofErr w:type="spellStart"/>
      <w:r w:rsidRPr="00251DFF">
        <w:rPr>
          <w:rFonts w:ascii="Cambria" w:eastAsia="Times New Roman" w:hAnsi="Cambria" w:cs="Times New Roman"/>
          <w:sz w:val="24"/>
          <w:szCs w:val="24"/>
        </w:rPr>
        <w:t>RoDTEP</w:t>
      </w:r>
      <w:proofErr w:type="spellEnd"/>
      <w:r w:rsidRPr="00251DFF">
        <w:rPr>
          <w:rFonts w:ascii="Cambria" w:eastAsia="Times New Roman" w:hAnsi="Cambria" w:cs="Times New Roman"/>
          <w:sz w:val="24"/>
          <w:szCs w:val="24"/>
        </w:rPr>
        <w:t xml:space="preserve"> benefits will exclude any taxes already refunded under Duty Drawback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Yes, with special permission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43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is the overarching goal of India’s Foreign Trade Policy (FTP) 2023-28?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reduce imports of luxury goods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To promote exports and achieve $2 trillion in goods and services exports by 2030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limit foreign trade to neighboring countries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encourage only agricultural exports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44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The FTP 2023-28 aims to enhance the role of districts as export hubs. What is this initiative called?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District Development Scheme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One District, One Product (ODOP)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t>C) District Export Promotion Council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Local Export Promotion Scheme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45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Which of the following sectors has been given special emphasis in the FTP 2023-28?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lastRenderedPageBreak/>
        <w:t>A) Automobile and heavy engineering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B)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Green energy and e-commerce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Mining and quarrying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Real estate and construction</w:t>
      </w:r>
    </w:p>
    <w:p w:rsidR="00251DFF" w:rsidRPr="00251DFF" w:rsidRDefault="00251DFF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46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. What key change was introduced in the FTP 2023-28 regarding the export obligation period under the EPCG scheme?</w:t>
      </w:r>
    </w:p>
    <w:p w:rsidR="00251DFF" w:rsidRDefault="00251DFF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The export obligation period has been reduced to 3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 The export obligation period has been increased to 10 years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There is no change in the export obligation period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 xml:space="preserve">D)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Export obligation fulfillment now includes services exports</w:t>
      </w:r>
    </w:p>
    <w:p w:rsidR="00957D71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251DFF" w:rsidRPr="00251DFF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4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7. What is the main focus of the FTP 2023-28 concerning e-commerce?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>A) To restrict e-commerce exports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B)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To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t xml:space="preserve"> promote e-commerce exports with simplified procedures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To impose additional taxes on e-commerce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To allow only domestic e-commerce</w:t>
      </w:r>
    </w:p>
    <w:p w:rsidR="00957D71" w:rsidRDefault="00957D71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51DFF" w:rsidRPr="00251DFF" w:rsidRDefault="00957D71" w:rsidP="00957D7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8. </w:t>
      </w:r>
      <w:r w:rsidR="00251DFF" w:rsidRPr="00251DFF">
        <w:rPr>
          <w:rFonts w:ascii="Cambria" w:eastAsia="Times New Roman" w:hAnsi="Cambria" w:cs="Times New Roman"/>
          <w:b/>
          <w:bCs/>
          <w:sz w:val="24"/>
          <w:szCs w:val="24"/>
        </w:rPr>
        <w:t>Which export promotion scheme has been replaced under the FTP 2023-28?</w:t>
      </w:r>
    </w:p>
    <w:p w:rsidR="00251DFF" w:rsidRPr="00251DFF" w:rsidRDefault="00251DFF" w:rsidP="00251DF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251DF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251DFF">
        <w:rPr>
          <w:rFonts w:ascii="Cambria" w:eastAsia="Times New Roman" w:hAnsi="Cambria" w:cs="Times New Roman"/>
          <w:b/>
          <w:sz w:val="24"/>
          <w:szCs w:val="24"/>
        </w:rPr>
        <w:t>Merchandise Exports from India Scheme (MEIS</w:t>
      </w:r>
      <w:proofErr w:type="gramStart"/>
      <w:r w:rsidRPr="00251DFF">
        <w:rPr>
          <w:rFonts w:ascii="Cambria" w:eastAsia="Times New Roman" w:hAnsi="Cambria" w:cs="Times New Roman"/>
          <w:b/>
          <w:sz w:val="24"/>
          <w:szCs w:val="24"/>
        </w:rPr>
        <w:t>)</w:t>
      </w:r>
      <w:proofErr w:type="gramEnd"/>
      <w:r w:rsidRPr="00251DFF">
        <w:rPr>
          <w:rFonts w:ascii="Cambria" w:eastAsia="Times New Roman" w:hAnsi="Cambria" w:cs="Times New Roman"/>
          <w:b/>
          <w:sz w:val="24"/>
          <w:szCs w:val="24"/>
        </w:rPr>
        <w:br/>
      </w:r>
      <w:r w:rsidRPr="00251DFF">
        <w:rPr>
          <w:rFonts w:ascii="Cambria" w:eastAsia="Times New Roman" w:hAnsi="Cambria" w:cs="Times New Roman"/>
          <w:sz w:val="24"/>
          <w:szCs w:val="24"/>
        </w:rPr>
        <w:t>B) Advance Authorization Scheme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C) EPCG Scheme</w:t>
      </w:r>
      <w:r w:rsidRPr="00251DFF">
        <w:rPr>
          <w:rFonts w:ascii="Cambria" w:eastAsia="Times New Roman" w:hAnsi="Cambria" w:cs="Times New Roman"/>
          <w:sz w:val="24"/>
          <w:szCs w:val="24"/>
        </w:rPr>
        <w:br/>
        <w:t>D) Duty Drawback Scheme</w:t>
      </w:r>
    </w:p>
    <w:p w:rsidR="00700C00" w:rsidRPr="00251DFF" w:rsidRDefault="00700C00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00C00" w:rsidRPr="0025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33"/>
    <w:rsid w:val="00251DFF"/>
    <w:rsid w:val="00700C00"/>
    <w:rsid w:val="00957D71"/>
    <w:rsid w:val="00B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5E29-6FF7-4423-9EFB-75F235CB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251D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1D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1D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51D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1DF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25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DFF"/>
    <w:rPr>
      <w:b/>
      <w:bCs/>
    </w:rPr>
  </w:style>
  <w:style w:type="character" w:styleId="Emphasis">
    <w:name w:val="Emphasis"/>
    <w:basedOn w:val="DefaultParagraphFont"/>
    <w:uiPriority w:val="20"/>
    <w:qFormat/>
    <w:rsid w:val="00251DFF"/>
    <w:rPr>
      <w:i/>
      <w:iCs/>
    </w:rPr>
  </w:style>
  <w:style w:type="character" w:customStyle="1" w:styleId="overflow-hidden">
    <w:name w:val="overflow-hidden"/>
    <w:basedOn w:val="DefaultParagraphFont"/>
    <w:rsid w:val="0025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3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4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1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8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2024-09-15T16:38:00Z</dcterms:created>
  <dcterms:modified xsi:type="dcterms:W3CDTF">2024-09-15T17:14:00Z</dcterms:modified>
</cp:coreProperties>
</file>